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6F6" w:rsidRPr="00F11793" w:rsidRDefault="006976F6" w:rsidP="007C5AD9">
      <w:pPr>
        <w:spacing w:before="100" w:beforeAutospacing="1"/>
        <w:jc w:val="both"/>
        <w:rPr>
          <w:rFonts w:ascii="Georgia" w:hAnsi="Georgia"/>
          <w:b/>
          <w:lang w:val="en-GB"/>
        </w:rPr>
      </w:pPr>
      <w:r>
        <w:rPr>
          <w:rFonts w:ascii="Georgia" w:hAnsi="Georgia"/>
          <w:b/>
          <w:lang w:val="en-GB"/>
        </w:rPr>
        <w:t>Public sec</w:t>
      </w:r>
      <w:r w:rsidRPr="00F11793">
        <w:rPr>
          <w:rFonts w:ascii="Georgia" w:hAnsi="Georgia"/>
          <w:b/>
          <w:lang w:val="en-GB"/>
        </w:rPr>
        <w:t xml:space="preserve">tor accounting system in </w:t>
      </w:r>
      <w:smartTag w:uri="urn:schemas-microsoft-com:office:smarttags" w:element="country-region">
        <w:smartTag w:uri="urn:schemas-microsoft-com:office:smarttags" w:element="place">
          <w:r w:rsidRPr="00F11793">
            <w:rPr>
              <w:rFonts w:ascii="Georgia" w:hAnsi="Georgia"/>
              <w:b/>
              <w:lang w:val="en-GB"/>
            </w:rPr>
            <w:t>Estonia</w:t>
          </w:r>
        </w:smartTag>
      </w:smartTag>
    </w:p>
    <w:p w:rsidR="006976F6" w:rsidRPr="00977CB4" w:rsidRDefault="006976F6" w:rsidP="007C5AD9">
      <w:pPr>
        <w:spacing w:before="100" w:beforeAutospacing="1"/>
        <w:jc w:val="both"/>
        <w:rPr>
          <w:rFonts w:ascii="Georgia" w:hAnsi="Georgia"/>
          <w:lang w:val="en-GB"/>
        </w:rPr>
      </w:pPr>
      <w:r>
        <w:rPr>
          <w:rFonts w:ascii="Georgia" w:hAnsi="Georgia"/>
          <w:lang w:val="en-GB"/>
        </w:rPr>
        <w:t>In D</w:t>
      </w:r>
      <w:r w:rsidRPr="00F11793">
        <w:rPr>
          <w:rFonts w:ascii="Georgia" w:hAnsi="Georgia"/>
          <w:lang w:val="en-GB"/>
        </w:rPr>
        <w:t xml:space="preserve">ecember </w:t>
      </w:r>
      <w:r>
        <w:rPr>
          <w:rFonts w:ascii="Georgia" w:hAnsi="Georgia"/>
          <w:lang w:val="en-GB"/>
        </w:rPr>
        <w:t xml:space="preserve">of </w:t>
      </w:r>
      <w:r w:rsidRPr="00F11793">
        <w:rPr>
          <w:rFonts w:ascii="Georgia" w:hAnsi="Georgia"/>
          <w:lang w:val="en-GB"/>
        </w:rPr>
        <w:t>2003</w:t>
      </w:r>
      <w:r>
        <w:rPr>
          <w:rFonts w:ascii="Georgia" w:hAnsi="Georgia"/>
          <w:lang w:val="en-GB"/>
        </w:rPr>
        <w:t xml:space="preserve">, </w:t>
      </w:r>
      <w:r w:rsidRPr="00F11793">
        <w:rPr>
          <w:rFonts w:ascii="Georgia" w:hAnsi="Georgia"/>
          <w:lang w:val="en-GB"/>
        </w:rPr>
        <w:t xml:space="preserve">the Minister of Finance </w:t>
      </w:r>
      <w:r>
        <w:rPr>
          <w:rFonts w:ascii="Georgia" w:hAnsi="Georgia"/>
          <w:lang w:val="en-GB"/>
        </w:rPr>
        <w:t xml:space="preserve">approved the </w:t>
      </w:r>
      <w:r w:rsidRPr="00F11793">
        <w:rPr>
          <w:rFonts w:ascii="Georgia" w:hAnsi="Georgia"/>
          <w:lang w:val="en-GB"/>
        </w:rPr>
        <w:t xml:space="preserve">General Rules for </w:t>
      </w:r>
      <w:r>
        <w:rPr>
          <w:rFonts w:ascii="Georgia" w:hAnsi="Georgia"/>
          <w:lang w:val="en-GB"/>
        </w:rPr>
        <w:t>Public Sector</w:t>
      </w:r>
      <w:r w:rsidRPr="00F11793">
        <w:rPr>
          <w:rFonts w:ascii="Georgia" w:hAnsi="Georgia"/>
          <w:lang w:val="en-GB"/>
        </w:rPr>
        <w:t xml:space="preserve"> Accounting which </w:t>
      </w:r>
      <w:r w:rsidR="00F775F7">
        <w:rPr>
          <w:rFonts w:ascii="Georgia" w:hAnsi="Georgia"/>
          <w:lang w:val="en-GB"/>
        </w:rPr>
        <w:t xml:space="preserve">came </w:t>
      </w:r>
      <w:r w:rsidRPr="00F11793">
        <w:rPr>
          <w:rFonts w:ascii="Georgia" w:hAnsi="Georgia"/>
          <w:lang w:val="en-GB"/>
        </w:rPr>
        <w:t xml:space="preserve">into </w:t>
      </w:r>
      <w:r>
        <w:rPr>
          <w:rFonts w:ascii="Georgia" w:hAnsi="Georgia"/>
          <w:lang w:val="en-GB"/>
        </w:rPr>
        <w:t>force on 1st of January 2004</w:t>
      </w:r>
      <w:r w:rsidR="0018437B">
        <w:rPr>
          <w:rFonts w:ascii="Georgia" w:hAnsi="Georgia"/>
          <w:lang w:val="en-GB"/>
        </w:rPr>
        <w:t xml:space="preserve"> </w:t>
      </w:r>
      <w:r w:rsidR="0018437B" w:rsidRPr="00E46D06">
        <w:rPr>
          <w:rFonts w:ascii="Georgia" w:hAnsi="Georgia"/>
          <w:lang w:val="en-GB"/>
        </w:rPr>
        <w:t xml:space="preserve">(since 2017 renamed as the Public </w:t>
      </w:r>
      <w:proofErr w:type="spellStart"/>
      <w:r w:rsidR="0018437B" w:rsidRPr="00E46D06">
        <w:rPr>
          <w:rFonts w:ascii="Georgia" w:hAnsi="Georgia"/>
          <w:lang w:val="en-GB"/>
        </w:rPr>
        <w:t>SectorFinancial</w:t>
      </w:r>
      <w:proofErr w:type="spellEnd"/>
      <w:r w:rsidR="0018437B" w:rsidRPr="00E46D06">
        <w:rPr>
          <w:rFonts w:ascii="Georgia" w:hAnsi="Georgia"/>
          <w:lang w:val="en-GB"/>
        </w:rPr>
        <w:t xml:space="preserve"> Accounting and Reporting Guidelines)</w:t>
      </w:r>
      <w:r w:rsidRPr="00E46D06">
        <w:rPr>
          <w:rFonts w:ascii="Georgia" w:hAnsi="Georgia"/>
          <w:lang w:val="en-GB"/>
        </w:rPr>
        <w:t>.  A m</w:t>
      </w:r>
      <w:r>
        <w:rPr>
          <w:rFonts w:ascii="Georgia" w:hAnsi="Georgia"/>
          <w:lang w:val="en-GB"/>
        </w:rPr>
        <w:t xml:space="preserve">ajor change was that the  public sector accounting rules were brought in line with the basic accounting principles of  the IPSAS </w:t>
      </w:r>
      <w:r w:rsidRPr="00FF238A">
        <w:rPr>
          <w:rFonts w:ascii="Georgia" w:hAnsi="Georgia"/>
        </w:rPr>
        <w:t>(</w:t>
      </w:r>
      <w:r w:rsidRPr="00FF238A">
        <w:rPr>
          <w:rFonts w:ascii="Georgia" w:hAnsi="Georgia"/>
          <w:i/>
        </w:rPr>
        <w:t xml:space="preserve">International </w:t>
      </w:r>
      <w:r w:rsidRPr="00977CB4">
        <w:rPr>
          <w:rFonts w:ascii="Georgia" w:hAnsi="Georgia"/>
          <w:i/>
          <w:lang w:val="en-GB"/>
        </w:rPr>
        <w:t>Public Sector Accounting Standards</w:t>
      </w:r>
      <w:r w:rsidRPr="00977CB4">
        <w:rPr>
          <w:rFonts w:ascii="Georgia" w:hAnsi="Georgia"/>
          <w:lang w:val="en-GB"/>
        </w:rPr>
        <w:t>)</w:t>
      </w:r>
      <w:r>
        <w:rPr>
          <w:rFonts w:ascii="Georgia" w:hAnsi="Georgia"/>
          <w:lang w:val="en-GB"/>
        </w:rPr>
        <w:t>. In addition, the requirements for a compilation of</w:t>
      </w:r>
      <w:r w:rsidRPr="00977CB4">
        <w:rPr>
          <w:rFonts w:ascii="Georgia" w:hAnsi="Georgia"/>
          <w:lang w:val="en-GB"/>
        </w:rPr>
        <w:t xml:space="preserve"> consolidated </w:t>
      </w:r>
      <w:r>
        <w:rPr>
          <w:rFonts w:ascii="Georgia" w:hAnsi="Georgia"/>
          <w:lang w:val="en-GB"/>
        </w:rPr>
        <w:t xml:space="preserve">statements were laid down as well as the adoption of common accounting principles and rules for submitting statements to the State Shared Service </w:t>
      </w:r>
      <w:proofErr w:type="spellStart"/>
      <w:r>
        <w:rPr>
          <w:rFonts w:ascii="Georgia" w:hAnsi="Georgia"/>
          <w:lang w:val="en-GB"/>
        </w:rPr>
        <w:t>Center</w:t>
      </w:r>
      <w:proofErr w:type="spellEnd"/>
      <w:r>
        <w:rPr>
          <w:rFonts w:ascii="Georgia" w:hAnsi="Georgia"/>
          <w:lang w:val="en-GB"/>
        </w:rPr>
        <w:t xml:space="preserve"> (SSSC) based on the common chart of accounts.</w:t>
      </w:r>
    </w:p>
    <w:p w:rsidR="006976F6" w:rsidRDefault="006976F6" w:rsidP="007C5AD9">
      <w:pPr>
        <w:spacing w:before="100" w:beforeAutospacing="1"/>
        <w:jc w:val="both"/>
        <w:rPr>
          <w:rFonts w:ascii="Georgia" w:hAnsi="Georgia"/>
          <w:lang w:val="en-GB"/>
        </w:rPr>
      </w:pPr>
      <w:r w:rsidRPr="009D08CD">
        <w:rPr>
          <w:rFonts w:ascii="Georgia" w:hAnsi="Georgia"/>
          <w:lang w:val="en-GB"/>
        </w:rPr>
        <w:t>In 2005</w:t>
      </w:r>
      <w:r>
        <w:rPr>
          <w:rFonts w:ascii="Georgia" w:hAnsi="Georgia"/>
          <w:lang w:val="en-GB"/>
        </w:rPr>
        <w:t xml:space="preserve">, for the first time, </w:t>
      </w:r>
      <w:r w:rsidRPr="009D08CD">
        <w:rPr>
          <w:rFonts w:ascii="Georgia" w:hAnsi="Georgia"/>
          <w:lang w:val="en-GB"/>
        </w:rPr>
        <w:t xml:space="preserve">the </w:t>
      </w:r>
      <w:r>
        <w:rPr>
          <w:rFonts w:ascii="Georgia" w:hAnsi="Georgia"/>
          <w:lang w:val="en-GB"/>
        </w:rPr>
        <w:t xml:space="preserve">consolidated </w:t>
      </w:r>
      <w:r w:rsidRPr="009D08CD">
        <w:rPr>
          <w:rFonts w:ascii="Georgia" w:hAnsi="Georgia"/>
          <w:lang w:val="en-GB"/>
        </w:rPr>
        <w:t xml:space="preserve">annual report of the state for the year 2004 was compiled </w:t>
      </w:r>
      <w:r>
        <w:rPr>
          <w:rFonts w:ascii="Georgia" w:hAnsi="Georgia"/>
          <w:lang w:val="en-GB"/>
        </w:rPr>
        <w:t>using internationally acknowledged accounting principles similar to those applied in the private sector. Since 2005  subsidiaries have been included in the consolidated financial statements of the state which means that the entire public sector is covered in the consolidated financial statements of the state. The consolidated financial statement of the state contains the following groups since 2005:</w:t>
      </w:r>
    </w:p>
    <w:p w:rsidR="006976F6" w:rsidRPr="00C314B0" w:rsidRDefault="006976F6" w:rsidP="00C314B0">
      <w:pPr>
        <w:pStyle w:val="ListParagraph"/>
        <w:numPr>
          <w:ilvl w:val="0"/>
          <w:numId w:val="3"/>
          <w:numberingChange w:id="0" w:author="kati" w:date="2013-12-11T21:43:00Z" w:original="%1:1:0:."/>
        </w:numPr>
        <w:spacing w:before="100" w:beforeAutospacing="1"/>
        <w:jc w:val="both"/>
        <w:rPr>
          <w:rFonts w:ascii="Georgia" w:hAnsi="Georgia"/>
          <w:lang w:val="en-GB"/>
        </w:rPr>
      </w:pPr>
      <w:r w:rsidRPr="00C314B0">
        <w:rPr>
          <w:rFonts w:ascii="Georgia" w:hAnsi="Georgia"/>
          <w:lang w:val="en-GB"/>
        </w:rPr>
        <w:t>consolidated and unconsolidated financial</w:t>
      </w:r>
      <w:r>
        <w:rPr>
          <w:rFonts w:ascii="Georgia" w:hAnsi="Georgia"/>
          <w:lang w:val="en-GB"/>
        </w:rPr>
        <w:t xml:space="preserve"> statements</w:t>
      </w:r>
      <w:r w:rsidRPr="00C314B0">
        <w:rPr>
          <w:rFonts w:ascii="Georgia" w:hAnsi="Georgia"/>
          <w:lang w:val="en-GB"/>
        </w:rPr>
        <w:t xml:space="preserve"> of the state</w:t>
      </w:r>
      <w:r>
        <w:rPr>
          <w:rFonts w:ascii="Georgia" w:hAnsi="Georgia"/>
          <w:lang w:val="en-GB"/>
        </w:rPr>
        <w:t>;</w:t>
      </w:r>
    </w:p>
    <w:p w:rsidR="006976F6" w:rsidRDefault="006976F6" w:rsidP="00C314B0">
      <w:pPr>
        <w:pStyle w:val="ListParagraph"/>
        <w:numPr>
          <w:ilvl w:val="0"/>
          <w:numId w:val="3"/>
          <w:numberingChange w:id="1" w:author="kati" w:date="2013-12-11T21:43:00Z" w:original="%1:2:0:."/>
        </w:numPr>
        <w:spacing w:before="100" w:beforeAutospacing="1"/>
        <w:jc w:val="both"/>
        <w:rPr>
          <w:rFonts w:ascii="Georgia" w:hAnsi="Georgia"/>
          <w:lang w:val="en-GB"/>
        </w:rPr>
      </w:pPr>
      <w:r>
        <w:rPr>
          <w:rFonts w:ascii="Georgia" w:hAnsi="Georgia"/>
          <w:lang w:val="en-GB"/>
        </w:rPr>
        <w:t>consolidated and unconsolidated financial statements of the local governments together;</w:t>
      </w:r>
    </w:p>
    <w:p w:rsidR="006976F6" w:rsidRPr="00C314B0" w:rsidRDefault="006976F6" w:rsidP="00C314B0">
      <w:pPr>
        <w:pStyle w:val="ListParagraph"/>
        <w:numPr>
          <w:ilvl w:val="0"/>
          <w:numId w:val="3"/>
          <w:numberingChange w:id="2" w:author="kati" w:date="2013-12-11T21:43:00Z" w:original="%1:3:0:."/>
        </w:numPr>
        <w:spacing w:before="100" w:beforeAutospacing="1"/>
        <w:jc w:val="both"/>
        <w:rPr>
          <w:rFonts w:ascii="Georgia" w:hAnsi="Georgia"/>
          <w:lang w:val="en-GB"/>
        </w:rPr>
      </w:pPr>
      <w:r>
        <w:rPr>
          <w:rFonts w:ascii="Georgia" w:hAnsi="Georgia"/>
          <w:lang w:val="en-GB"/>
        </w:rPr>
        <w:t>consolidated financial statements of the government sector and public sector together.</w:t>
      </w:r>
    </w:p>
    <w:p w:rsidR="006976F6" w:rsidRPr="00085BFF" w:rsidRDefault="006976F6" w:rsidP="007366F3">
      <w:pPr>
        <w:spacing w:before="100" w:beforeAutospacing="1"/>
        <w:jc w:val="both"/>
        <w:rPr>
          <w:rFonts w:ascii="Georgia" w:hAnsi="Georgia"/>
        </w:rPr>
      </w:pPr>
      <w:r w:rsidRPr="006C0659">
        <w:rPr>
          <w:rFonts w:ascii="Georgia" w:hAnsi="Georgia"/>
          <w:lang w:val="en-GB"/>
        </w:rPr>
        <w:t>Public sector accounting</w:t>
      </w:r>
      <w:r w:rsidRPr="00085BFF">
        <w:rPr>
          <w:rFonts w:ascii="Georgia" w:hAnsi="Georgia"/>
          <w:lang w:val="en-US"/>
        </w:rPr>
        <w:t xml:space="preserve"> is regulated by the Accounting Act</w:t>
      </w:r>
      <w:r>
        <w:rPr>
          <w:rFonts w:ascii="Georgia" w:hAnsi="Georgia"/>
          <w:lang w:val="en-US"/>
        </w:rPr>
        <w:t xml:space="preserve">, the </w:t>
      </w:r>
      <w:r w:rsidR="0018437B" w:rsidRPr="00E46D06">
        <w:rPr>
          <w:rFonts w:ascii="Georgia" w:hAnsi="Georgia"/>
          <w:lang w:val="en-US"/>
        </w:rPr>
        <w:t>Public Sector Financial Accounting and Reporting Guidelines</w:t>
      </w:r>
      <w:r>
        <w:rPr>
          <w:rFonts w:ascii="Georgia" w:hAnsi="Georgia"/>
          <w:lang w:val="en-US"/>
        </w:rPr>
        <w:t xml:space="preserve">,  the </w:t>
      </w:r>
      <w:r w:rsidRPr="00085BFF">
        <w:rPr>
          <w:rFonts w:ascii="Georgia" w:hAnsi="Georgia" w:cs="Times-Bold"/>
          <w:bCs/>
          <w:lang w:val="en-US" w:eastAsia="fr-FR"/>
        </w:rPr>
        <w:t>Guidelines of the Estonian Accounting Standards Board (Estonian GAAP)</w:t>
      </w:r>
      <w:r>
        <w:rPr>
          <w:rFonts w:ascii="Georgia" w:hAnsi="Georgia" w:cs="Times-Bold"/>
          <w:bCs/>
          <w:lang w:val="en-US" w:eastAsia="fr-FR"/>
        </w:rPr>
        <w:t xml:space="preserve"> and internal accounting principles and procedures of a reporting entity. All public sector entities (</w:t>
      </w:r>
      <w:proofErr w:type="spellStart"/>
      <w:r w:rsidRPr="002E29AF">
        <w:rPr>
          <w:rFonts w:ascii="Georgia" w:hAnsi="Georgia" w:cs="Times-Bold"/>
          <w:bCs/>
          <w:lang w:val="en-GB" w:eastAsia="fr-FR"/>
        </w:rPr>
        <w:t>incl</w:t>
      </w:r>
      <w:proofErr w:type="spellEnd"/>
      <w:r>
        <w:rPr>
          <w:rFonts w:ascii="Georgia" w:hAnsi="Georgia" w:cs="Times-Bold"/>
          <w:bCs/>
          <w:lang w:val="en-US" w:eastAsia="fr-FR"/>
        </w:rPr>
        <w:t xml:space="preserve"> government sector </w:t>
      </w:r>
      <w:r w:rsidRPr="006A260B">
        <w:rPr>
          <w:rFonts w:ascii="Georgia" w:hAnsi="Georgia" w:cs="Times-Bold"/>
          <w:bCs/>
          <w:lang w:val="en-US" w:eastAsia="fr-FR"/>
        </w:rPr>
        <w:t xml:space="preserve">entities) apply </w:t>
      </w:r>
      <w:r>
        <w:rPr>
          <w:rFonts w:ascii="Georgia" w:hAnsi="Georgia" w:cs="Times-Bold"/>
          <w:bCs/>
          <w:lang w:val="en-US" w:eastAsia="fr-FR"/>
        </w:rPr>
        <w:t xml:space="preserve">the same accounting standards, although non-profit oriented entities </w:t>
      </w:r>
      <w:r w:rsidRPr="006A260B">
        <w:rPr>
          <w:rFonts w:ascii="Georgia" w:hAnsi="Georgia" w:cs="Times-Bold"/>
          <w:bCs/>
          <w:lang w:val="en-US" w:eastAsia="fr-FR"/>
        </w:rPr>
        <w:t xml:space="preserve">apply </w:t>
      </w:r>
      <w:r>
        <w:rPr>
          <w:rFonts w:ascii="Georgia" w:hAnsi="Georgia" w:cs="Times-Bold"/>
          <w:bCs/>
          <w:lang w:val="en-US" w:eastAsia="fr-FR"/>
        </w:rPr>
        <w:t xml:space="preserve">IPSAS and profit oriented entities </w:t>
      </w:r>
      <w:r w:rsidRPr="006A260B">
        <w:rPr>
          <w:rFonts w:ascii="Georgia" w:hAnsi="Georgia" w:cs="Times-Bold"/>
          <w:bCs/>
          <w:lang w:val="en-US" w:eastAsia="fr-FR"/>
        </w:rPr>
        <w:t>apply  IFRS</w:t>
      </w:r>
      <w:r>
        <w:rPr>
          <w:rFonts w:ascii="Georgia" w:hAnsi="Georgia" w:cs="Times-Bold"/>
          <w:bCs/>
          <w:lang w:val="en-US" w:eastAsia="fr-FR"/>
        </w:rPr>
        <w:t>.</w:t>
      </w:r>
    </w:p>
    <w:p w:rsidR="006976F6" w:rsidRPr="002E29AF" w:rsidRDefault="006976F6" w:rsidP="007366F3">
      <w:pPr>
        <w:pStyle w:val="NormalWeb"/>
        <w:spacing w:after="0" w:afterAutospacing="0"/>
        <w:jc w:val="both"/>
        <w:rPr>
          <w:rFonts w:ascii="Georgia" w:hAnsi="Georgia"/>
          <w:b/>
          <w:sz w:val="22"/>
          <w:szCs w:val="22"/>
          <w:lang w:val="en-GB"/>
        </w:rPr>
      </w:pPr>
      <w:r w:rsidRPr="002E29AF">
        <w:rPr>
          <w:rFonts w:ascii="Georgia" w:hAnsi="Georgia"/>
          <w:b/>
          <w:sz w:val="22"/>
          <w:szCs w:val="22"/>
          <w:lang w:val="en-GB"/>
        </w:rPr>
        <w:t>Collection and dissemination of data</w:t>
      </w:r>
    </w:p>
    <w:p w:rsidR="006976F6" w:rsidRPr="00927E15" w:rsidRDefault="006976F6" w:rsidP="007366F3">
      <w:pPr>
        <w:pStyle w:val="NormalWeb"/>
        <w:spacing w:after="0" w:afterAutospacing="0"/>
        <w:jc w:val="both"/>
        <w:rPr>
          <w:rFonts w:ascii="Georgia" w:hAnsi="Georgia"/>
          <w:sz w:val="22"/>
          <w:szCs w:val="22"/>
        </w:rPr>
      </w:pPr>
      <w:r w:rsidRPr="00AF05C6">
        <w:rPr>
          <w:rFonts w:ascii="Georgia" w:hAnsi="Georgia" w:cs="Arial"/>
          <w:bCs/>
          <w:sz w:val="22"/>
          <w:szCs w:val="22"/>
          <w:lang w:val="en-US"/>
        </w:rPr>
        <w:t xml:space="preserve">According to the </w:t>
      </w:r>
      <w:r w:rsidR="00810086" w:rsidRPr="00E46D06">
        <w:rPr>
          <w:rFonts w:ascii="Georgia" w:hAnsi="Georgia"/>
          <w:lang w:val="en-GB"/>
        </w:rPr>
        <w:t xml:space="preserve">Public </w:t>
      </w:r>
      <w:proofErr w:type="spellStart"/>
      <w:r w:rsidR="00810086" w:rsidRPr="00E46D06">
        <w:rPr>
          <w:rFonts w:ascii="Georgia" w:hAnsi="Georgia"/>
          <w:lang w:val="en-GB"/>
        </w:rPr>
        <w:t>SectorFinancial</w:t>
      </w:r>
      <w:proofErr w:type="spellEnd"/>
      <w:r w:rsidR="00810086" w:rsidRPr="00E46D06">
        <w:rPr>
          <w:rFonts w:ascii="Georgia" w:hAnsi="Georgia"/>
          <w:lang w:val="en-GB"/>
        </w:rPr>
        <w:t xml:space="preserve"> Accounting and Reporting Guidelines</w:t>
      </w:r>
      <w:r w:rsidR="00810086">
        <w:rPr>
          <w:rFonts w:ascii="Georgia" w:hAnsi="Georgia"/>
          <w:lang w:val="en-GB"/>
        </w:rPr>
        <w:t xml:space="preserve"> </w:t>
      </w:r>
      <w:r w:rsidRPr="00AF05C6">
        <w:rPr>
          <w:rFonts w:ascii="Georgia" w:hAnsi="Georgia" w:cs="Times-Bold"/>
          <w:bCs/>
          <w:sz w:val="22"/>
          <w:szCs w:val="22"/>
          <w:lang w:val="en-US" w:eastAsia="fr-FR"/>
        </w:rPr>
        <w:t xml:space="preserve">all public sector accounting entities </w:t>
      </w:r>
      <w:r>
        <w:rPr>
          <w:rFonts w:ascii="Georgia" w:hAnsi="Georgia" w:cs="Times-Bold"/>
          <w:bCs/>
          <w:sz w:val="22"/>
          <w:szCs w:val="22"/>
          <w:lang w:val="en-US" w:eastAsia="fr-FR"/>
        </w:rPr>
        <w:t>insert their</w:t>
      </w:r>
      <w:r w:rsidRPr="00AF05C6">
        <w:rPr>
          <w:rFonts w:ascii="Georgia" w:hAnsi="Georgia" w:cs="Times-Bold"/>
          <w:bCs/>
          <w:sz w:val="22"/>
          <w:szCs w:val="22"/>
          <w:lang w:val="en-US" w:eastAsia="fr-FR"/>
        </w:rPr>
        <w:t xml:space="preserve"> financial reports to the</w:t>
      </w:r>
      <w:r>
        <w:rPr>
          <w:rFonts w:ascii="Georgia" w:hAnsi="Georgia" w:cs="Times-Bold"/>
          <w:bCs/>
          <w:sz w:val="22"/>
          <w:szCs w:val="22"/>
          <w:lang w:val="en-US" w:eastAsia="fr-FR"/>
        </w:rPr>
        <w:t xml:space="preserve"> </w:t>
      </w:r>
      <w:r w:rsidRPr="00AF05C6">
        <w:rPr>
          <w:rFonts w:ascii="Georgia" w:hAnsi="Georgia" w:cs="Times-Bold"/>
          <w:bCs/>
          <w:sz w:val="22"/>
          <w:szCs w:val="22"/>
          <w:lang w:val="en-US" w:eastAsia="fr-FR"/>
        </w:rPr>
        <w:t xml:space="preserve">special </w:t>
      </w:r>
      <w:r>
        <w:rPr>
          <w:rFonts w:ascii="Georgia" w:hAnsi="Georgia" w:cs="Times-Bold"/>
          <w:bCs/>
          <w:sz w:val="22"/>
          <w:szCs w:val="22"/>
          <w:lang w:val="en-US" w:eastAsia="fr-FR"/>
        </w:rPr>
        <w:t>web-based database of the SSSC</w:t>
      </w:r>
      <w:r w:rsidRPr="00AF05C6">
        <w:rPr>
          <w:rFonts w:ascii="Georgia" w:hAnsi="Georgia" w:cs="Times-Bold"/>
          <w:bCs/>
          <w:sz w:val="22"/>
          <w:szCs w:val="22"/>
          <w:lang w:val="en-US" w:eastAsia="fr-FR"/>
        </w:rPr>
        <w:t xml:space="preserve">. The reports are based on </w:t>
      </w:r>
      <w:r w:rsidRPr="00AF05C6">
        <w:rPr>
          <w:rFonts w:ascii="Georgia" w:hAnsi="Georgia"/>
          <w:sz w:val="22"/>
          <w:szCs w:val="22"/>
          <w:lang w:val="en-US"/>
        </w:rPr>
        <w:t>the common chart of accounts</w:t>
      </w:r>
      <w:r>
        <w:rPr>
          <w:rFonts w:ascii="Georgia" w:hAnsi="Georgia"/>
          <w:sz w:val="22"/>
          <w:szCs w:val="22"/>
          <w:lang w:val="en-US"/>
        </w:rPr>
        <w:t xml:space="preserve"> and are </w:t>
      </w:r>
      <w:r w:rsidR="00646CE3">
        <w:rPr>
          <w:rFonts w:ascii="Georgia" w:hAnsi="Georgia"/>
          <w:sz w:val="22"/>
          <w:szCs w:val="22"/>
          <w:lang w:val="en-US"/>
        </w:rPr>
        <w:t xml:space="preserve">inserted </w:t>
      </w:r>
      <w:r>
        <w:rPr>
          <w:rFonts w:ascii="Georgia" w:hAnsi="Georgia"/>
          <w:sz w:val="22"/>
          <w:szCs w:val="22"/>
          <w:lang w:val="en-US"/>
        </w:rPr>
        <w:t xml:space="preserve">to </w:t>
      </w:r>
      <w:r w:rsidR="00646CE3">
        <w:rPr>
          <w:rFonts w:ascii="Georgia" w:hAnsi="Georgia"/>
          <w:sz w:val="22"/>
          <w:szCs w:val="22"/>
          <w:lang w:val="en-US"/>
        </w:rPr>
        <w:t xml:space="preserve">the </w:t>
      </w:r>
      <w:r>
        <w:rPr>
          <w:rFonts w:ascii="Georgia" w:hAnsi="Georgia"/>
          <w:sz w:val="22"/>
          <w:szCs w:val="22"/>
          <w:lang w:val="en-US"/>
        </w:rPr>
        <w:t xml:space="preserve">database in form of a special unified report. This special unified report consists of balance sheet accounts, revenue, and expenses accounts as well as off-balance sheet information. The latter is presented once a year after the end </w:t>
      </w:r>
      <w:r w:rsidRPr="007E3B9F">
        <w:rPr>
          <w:rFonts w:ascii="Georgia" w:hAnsi="Georgia"/>
          <w:sz w:val="22"/>
          <w:szCs w:val="22"/>
          <w:lang w:val="en-US"/>
        </w:rPr>
        <w:t xml:space="preserve">of </w:t>
      </w:r>
      <w:r>
        <w:rPr>
          <w:rFonts w:ascii="Georgia" w:hAnsi="Georgia"/>
          <w:sz w:val="22"/>
          <w:szCs w:val="22"/>
          <w:lang w:val="en-US"/>
        </w:rPr>
        <w:t xml:space="preserve">the </w:t>
      </w:r>
      <w:r w:rsidRPr="007E3B9F">
        <w:rPr>
          <w:rFonts w:ascii="Georgia" w:hAnsi="Georgia"/>
          <w:sz w:val="22"/>
          <w:szCs w:val="22"/>
          <w:lang w:val="en-US"/>
        </w:rPr>
        <w:t>financial</w:t>
      </w:r>
      <w:r>
        <w:rPr>
          <w:rFonts w:ascii="Georgia" w:hAnsi="Georgia"/>
          <w:sz w:val="22"/>
          <w:szCs w:val="22"/>
          <w:lang w:val="en-US"/>
        </w:rPr>
        <w:t xml:space="preserve"> year</w:t>
      </w:r>
    </w:p>
    <w:p w:rsidR="006976F6" w:rsidRDefault="006976F6" w:rsidP="00C02DE3">
      <w:pPr>
        <w:jc w:val="both"/>
        <w:rPr>
          <w:rFonts w:ascii="Times New Roman" w:hAnsi="Times New Roman"/>
          <w:sz w:val="24"/>
          <w:highlight w:val="green"/>
          <w:lang w:val="en-US"/>
        </w:rPr>
      </w:pPr>
    </w:p>
    <w:p w:rsidR="006976F6" w:rsidRPr="00E33B13" w:rsidRDefault="006976F6" w:rsidP="00C02DE3">
      <w:pPr>
        <w:jc w:val="both"/>
        <w:rPr>
          <w:rFonts w:ascii="Georgia" w:hAnsi="Georgia"/>
          <w:lang w:val="en-US"/>
        </w:rPr>
      </w:pPr>
      <w:r w:rsidRPr="00E33B13">
        <w:rPr>
          <w:rFonts w:ascii="Georgia" w:hAnsi="Georgia"/>
          <w:lang w:val="en-US"/>
        </w:rPr>
        <w:t xml:space="preserve">All general government sector accounting entities insert their reports into the database of </w:t>
      </w:r>
      <w:r>
        <w:rPr>
          <w:rFonts w:ascii="Georgia" w:hAnsi="Georgia"/>
          <w:lang w:val="en-US"/>
        </w:rPr>
        <w:t xml:space="preserve">the </w:t>
      </w:r>
      <w:r w:rsidRPr="00E33B13">
        <w:rPr>
          <w:rFonts w:ascii="Georgia" w:hAnsi="Georgia"/>
          <w:lang w:val="en-US"/>
        </w:rPr>
        <w:t xml:space="preserve">SSSC monthly. Enterprises </w:t>
      </w:r>
      <w:r>
        <w:rPr>
          <w:rFonts w:ascii="Georgia" w:hAnsi="Georgia"/>
          <w:lang w:val="en-US"/>
        </w:rPr>
        <w:t>controlled by</w:t>
      </w:r>
      <w:r w:rsidRPr="00E33B13">
        <w:rPr>
          <w:rFonts w:ascii="Georgia" w:hAnsi="Georgia"/>
          <w:lang w:val="en-US"/>
        </w:rPr>
        <w:t xml:space="preserve"> the government entities insert their reports quarterly</w:t>
      </w:r>
      <w:r w:rsidRPr="00E46D06">
        <w:rPr>
          <w:rFonts w:ascii="Georgia" w:hAnsi="Georgia"/>
          <w:lang w:val="en-US"/>
        </w:rPr>
        <w:t xml:space="preserve">. </w:t>
      </w:r>
      <w:r w:rsidR="0018437B" w:rsidRPr="00E46D06">
        <w:rPr>
          <w:rFonts w:ascii="Georgia" w:hAnsi="Georgia"/>
          <w:lang w:val="en-US"/>
        </w:rPr>
        <w:t>Originally the d</w:t>
      </w:r>
      <w:r w:rsidRPr="00E46D06">
        <w:rPr>
          <w:rFonts w:ascii="Georgia" w:hAnsi="Georgia"/>
          <w:lang w:val="en-US"/>
        </w:rPr>
        <w:t xml:space="preserve">eadline </w:t>
      </w:r>
      <w:r w:rsidR="0018437B" w:rsidRPr="00E46D06">
        <w:rPr>
          <w:rFonts w:ascii="Georgia" w:hAnsi="Georgia"/>
          <w:lang w:val="en-US"/>
        </w:rPr>
        <w:t>was</w:t>
      </w:r>
      <w:r w:rsidRPr="00E33B13">
        <w:rPr>
          <w:rFonts w:ascii="Georgia" w:hAnsi="Georgia"/>
          <w:lang w:val="en-US"/>
        </w:rPr>
        <w:t xml:space="preserve"> the</w:t>
      </w:r>
      <w:r>
        <w:rPr>
          <w:rFonts w:ascii="Georgia" w:hAnsi="Georgia"/>
          <w:lang w:val="en-US"/>
        </w:rPr>
        <w:t xml:space="preserve"> </w:t>
      </w:r>
      <w:r w:rsidRPr="00E33B13">
        <w:rPr>
          <w:rFonts w:ascii="Georgia" w:hAnsi="Georgia"/>
          <w:lang w:val="en-US"/>
        </w:rPr>
        <w:t xml:space="preserve">end of </w:t>
      </w:r>
      <w:r w:rsidR="00E46D06">
        <w:rPr>
          <w:rFonts w:ascii="Georgia" w:hAnsi="Georgia"/>
          <w:lang w:val="en-US"/>
        </w:rPr>
        <w:t xml:space="preserve">the </w:t>
      </w:r>
      <w:r w:rsidRPr="00E33B13">
        <w:rPr>
          <w:rFonts w:ascii="Georgia" w:hAnsi="Georgia"/>
          <w:lang w:val="en-US"/>
        </w:rPr>
        <w:t>next month from the end of the reporting period</w:t>
      </w:r>
      <w:r>
        <w:rPr>
          <w:rFonts w:ascii="Georgia" w:hAnsi="Georgia"/>
          <w:lang w:val="en-US"/>
        </w:rPr>
        <w:t>. Starting from</w:t>
      </w:r>
      <w:r w:rsidRPr="00E33B13">
        <w:rPr>
          <w:rFonts w:ascii="Georgia" w:hAnsi="Georgia"/>
          <w:lang w:val="en-US"/>
        </w:rPr>
        <w:t xml:space="preserve"> 2014</w:t>
      </w:r>
      <w:r>
        <w:rPr>
          <w:rFonts w:ascii="Georgia" w:hAnsi="Georgia"/>
          <w:lang w:val="en-US"/>
        </w:rPr>
        <w:t>, the</w:t>
      </w:r>
      <w:r w:rsidRPr="00E33B13">
        <w:rPr>
          <w:rFonts w:ascii="Georgia" w:hAnsi="Georgia"/>
          <w:lang w:val="en-US"/>
        </w:rPr>
        <w:t xml:space="preserve"> </w:t>
      </w:r>
      <w:r>
        <w:rPr>
          <w:rFonts w:ascii="Georgia" w:hAnsi="Georgia"/>
          <w:lang w:val="en-US"/>
        </w:rPr>
        <w:t xml:space="preserve">deadline </w:t>
      </w:r>
      <w:r w:rsidR="00E46D06">
        <w:rPr>
          <w:rFonts w:ascii="Georgia" w:hAnsi="Georgia"/>
          <w:lang w:val="en-US"/>
        </w:rPr>
        <w:t xml:space="preserve">has been </w:t>
      </w:r>
      <w:r w:rsidR="00E46D06" w:rsidRPr="00E46D06">
        <w:rPr>
          <w:rFonts w:ascii="Georgia" w:hAnsi="Georgia"/>
          <w:lang w:val="en-US"/>
        </w:rPr>
        <w:t>moved to</w:t>
      </w:r>
      <w:r w:rsidR="00E46D06">
        <w:rPr>
          <w:rFonts w:ascii="Georgia" w:hAnsi="Georgia"/>
          <w:lang w:val="en-US"/>
        </w:rPr>
        <w:t xml:space="preserve"> </w:t>
      </w:r>
      <w:r>
        <w:rPr>
          <w:rFonts w:ascii="Georgia" w:hAnsi="Georgia"/>
          <w:lang w:val="en-US"/>
        </w:rPr>
        <w:t xml:space="preserve">the </w:t>
      </w:r>
      <w:r w:rsidRPr="00E33B13">
        <w:rPr>
          <w:rFonts w:ascii="Georgia" w:hAnsi="Georgia"/>
          <w:lang w:val="en-US"/>
        </w:rPr>
        <w:t>25</w:t>
      </w:r>
      <w:r w:rsidRPr="00E33B13">
        <w:rPr>
          <w:rFonts w:ascii="Georgia" w:hAnsi="Georgia"/>
          <w:vertAlign w:val="superscript"/>
          <w:lang w:val="en-US"/>
        </w:rPr>
        <w:t>th</w:t>
      </w:r>
      <w:r w:rsidRPr="00E33B13">
        <w:rPr>
          <w:rFonts w:ascii="Georgia" w:hAnsi="Georgia"/>
          <w:lang w:val="en-US"/>
        </w:rPr>
        <w:t xml:space="preserve"> </w:t>
      </w:r>
      <w:r>
        <w:rPr>
          <w:rFonts w:ascii="Georgia" w:hAnsi="Georgia"/>
          <w:lang w:val="en-US"/>
        </w:rPr>
        <w:t>day from the end of the reporting period</w:t>
      </w:r>
      <w:r w:rsidRPr="00E33B13">
        <w:rPr>
          <w:rFonts w:ascii="Georgia" w:hAnsi="Georgia"/>
          <w:lang w:val="en-US"/>
        </w:rPr>
        <w:t xml:space="preserve">. </w:t>
      </w:r>
      <w:r>
        <w:rPr>
          <w:rFonts w:ascii="Georgia" w:hAnsi="Georgia"/>
          <w:lang w:val="en-US"/>
        </w:rPr>
        <w:t xml:space="preserve">Statistics Estonia decides which entities are enrolled into the government sector and publishes relevant information regularly on its webpage. </w:t>
      </w:r>
      <w:r w:rsidRPr="002C3E7D">
        <w:rPr>
          <w:rFonts w:ascii="Georgia" w:hAnsi="Georgia"/>
          <w:lang w:val="en-US"/>
        </w:rPr>
        <w:t xml:space="preserve">The reports from the database of </w:t>
      </w:r>
      <w:r>
        <w:rPr>
          <w:rFonts w:ascii="Georgia" w:hAnsi="Georgia"/>
          <w:lang w:val="en-US"/>
        </w:rPr>
        <w:t xml:space="preserve">the </w:t>
      </w:r>
      <w:r w:rsidRPr="002C3E7D">
        <w:rPr>
          <w:rFonts w:ascii="Georgia" w:hAnsi="Georgia"/>
          <w:lang w:val="en-US"/>
        </w:rPr>
        <w:t>SSSC are available to public (all separate financial reports of the reporting entities as well as consolidated reports of different groups and sectors).</w:t>
      </w:r>
      <w:r w:rsidRPr="00E33B13">
        <w:rPr>
          <w:rFonts w:ascii="Georgia" w:hAnsi="Georgia"/>
          <w:lang w:val="en-US"/>
        </w:rPr>
        <w:t xml:space="preserve"> </w:t>
      </w:r>
    </w:p>
    <w:p w:rsidR="006976F6" w:rsidRDefault="006976F6" w:rsidP="007366F3">
      <w:pPr>
        <w:pStyle w:val="NormalWeb"/>
        <w:spacing w:after="0" w:afterAutospacing="0"/>
        <w:jc w:val="both"/>
        <w:rPr>
          <w:rFonts w:ascii="Georgia" w:hAnsi="Georgia"/>
          <w:sz w:val="22"/>
          <w:szCs w:val="22"/>
        </w:rPr>
      </w:pPr>
      <w:r>
        <w:rPr>
          <w:rFonts w:ascii="Georgia" w:hAnsi="Georgia"/>
          <w:sz w:val="22"/>
          <w:szCs w:val="22"/>
          <w:lang w:val="en-GB"/>
        </w:rPr>
        <w:t>The c</w:t>
      </w:r>
      <w:r w:rsidRPr="00C36D8C">
        <w:rPr>
          <w:rFonts w:ascii="Georgia" w:hAnsi="Georgia"/>
          <w:sz w:val="22"/>
          <w:szCs w:val="22"/>
          <w:lang w:val="en-GB"/>
        </w:rPr>
        <w:t xml:space="preserve">onsolidated </w:t>
      </w:r>
      <w:r>
        <w:rPr>
          <w:rFonts w:ascii="Georgia" w:hAnsi="Georgia"/>
          <w:sz w:val="22"/>
          <w:szCs w:val="22"/>
          <w:lang w:val="en-GB"/>
        </w:rPr>
        <w:t>trial balance</w:t>
      </w:r>
      <w:r w:rsidRPr="00C36D8C">
        <w:rPr>
          <w:rFonts w:ascii="Georgia" w:hAnsi="Georgia"/>
          <w:sz w:val="22"/>
          <w:szCs w:val="22"/>
          <w:lang w:val="en-GB"/>
        </w:rPr>
        <w:t xml:space="preserve"> </w:t>
      </w:r>
      <w:r>
        <w:rPr>
          <w:rFonts w:ascii="Georgia" w:hAnsi="Georgia"/>
          <w:sz w:val="22"/>
          <w:szCs w:val="22"/>
          <w:lang w:val="en-GB"/>
        </w:rPr>
        <w:t xml:space="preserve">is a special unified report in which the balances of account combinations reflecting mutual balances of assets, liabilities, net assets, revenues, and expenses of entities belonging to the same consolidation group are eliminated. Account combinations include trade partner codes which are used for elimination </w:t>
      </w:r>
      <w:r w:rsidRPr="002F4A22">
        <w:rPr>
          <w:rFonts w:ascii="Georgia" w:hAnsi="Georgia"/>
          <w:sz w:val="22"/>
          <w:szCs w:val="22"/>
          <w:lang w:val="en-GB"/>
        </w:rPr>
        <w:t>purposes</w:t>
      </w:r>
      <w:r w:rsidRPr="002F4A22">
        <w:rPr>
          <w:rFonts w:ascii="Georgia" w:hAnsi="Georgia"/>
          <w:sz w:val="22"/>
          <w:szCs w:val="22"/>
        </w:rPr>
        <w:t xml:space="preserve"> </w:t>
      </w:r>
      <w:r w:rsidRPr="002F4A22">
        <w:rPr>
          <w:rFonts w:ascii="Georgia" w:hAnsi="Georgia"/>
          <w:sz w:val="22"/>
          <w:szCs w:val="22"/>
          <w:lang w:val="en-GB"/>
        </w:rPr>
        <w:t>– e</w:t>
      </w:r>
      <w:r>
        <w:rPr>
          <w:rFonts w:ascii="Georgia" w:hAnsi="Georgia"/>
          <w:sz w:val="22"/>
          <w:szCs w:val="22"/>
          <w:lang w:val="en-GB"/>
        </w:rPr>
        <w:t xml:space="preserve">very reporting entity has a unique code identifying its consolidation group and subsector characteristic. Besides trade partner codes, the account combination also consists of </w:t>
      </w:r>
      <w:r>
        <w:rPr>
          <w:rFonts w:ascii="Georgia" w:hAnsi="Georgia"/>
          <w:sz w:val="22"/>
          <w:szCs w:val="22"/>
          <w:lang w:val="en-GB"/>
        </w:rPr>
        <w:lastRenderedPageBreak/>
        <w:t>functional area codes based on the COFOG, source codes for grants, and cash-flow codes for cash-flow statements.</w:t>
      </w:r>
      <w:r w:rsidRPr="00C36D8C">
        <w:rPr>
          <w:rFonts w:ascii="Georgia" w:hAnsi="Georgia"/>
          <w:sz w:val="22"/>
          <w:szCs w:val="22"/>
          <w:highlight w:val="yellow"/>
        </w:rPr>
        <w:t xml:space="preserve"> </w:t>
      </w:r>
    </w:p>
    <w:p w:rsidR="006976F6" w:rsidRPr="00D34750" w:rsidRDefault="006976F6" w:rsidP="007366F3">
      <w:pPr>
        <w:pStyle w:val="NormalWeb"/>
        <w:spacing w:after="0" w:afterAutospacing="0"/>
        <w:jc w:val="both"/>
        <w:rPr>
          <w:rFonts w:ascii="Georgia" w:hAnsi="Georgia"/>
          <w:sz w:val="22"/>
          <w:szCs w:val="22"/>
          <w:lang w:val="en-GB"/>
        </w:rPr>
      </w:pPr>
      <w:r w:rsidRPr="00D34750">
        <w:rPr>
          <w:rFonts w:ascii="Georgia" w:hAnsi="Georgia"/>
          <w:sz w:val="22"/>
          <w:szCs w:val="22"/>
          <w:lang w:val="en-GB"/>
        </w:rPr>
        <w:t xml:space="preserve">All reporting entities have </w:t>
      </w:r>
      <w:r>
        <w:rPr>
          <w:rFonts w:ascii="Georgia" w:hAnsi="Georgia"/>
          <w:sz w:val="22"/>
          <w:szCs w:val="22"/>
          <w:lang w:val="en-GB"/>
        </w:rPr>
        <w:t>the</w:t>
      </w:r>
      <w:r w:rsidRPr="00D34750">
        <w:rPr>
          <w:rFonts w:ascii="Georgia" w:hAnsi="Georgia"/>
          <w:sz w:val="22"/>
          <w:szCs w:val="22"/>
          <w:lang w:val="en-GB"/>
        </w:rPr>
        <w:t xml:space="preserve"> right to view </w:t>
      </w:r>
      <w:r>
        <w:rPr>
          <w:rFonts w:ascii="Georgia" w:hAnsi="Georgia"/>
          <w:sz w:val="22"/>
          <w:szCs w:val="22"/>
          <w:lang w:val="en-GB"/>
        </w:rPr>
        <w:t>applicable</w:t>
      </w:r>
      <w:r w:rsidRPr="00D34750">
        <w:rPr>
          <w:rFonts w:ascii="Georgia" w:hAnsi="Georgia"/>
          <w:sz w:val="22"/>
          <w:szCs w:val="22"/>
          <w:lang w:val="en-GB"/>
        </w:rPr>
        <w:t xml:space="preserve"> codes of the chart of accounts, </w:t>
      </w:r>
      <w:r>
        <w:rPr>
          <w:rFonts w:ascii="Georgia" w:hAnsi="Georgia"/>
          <w:sz w:val="22"/>
          <w:szCs w:val="22"/>
          <w:lang w:val="en-GB"/>
        </w:rPr>
        <w:t>make amendments in their reports within a permitted period, and to compile reports and inquiries.</w:t>
      </w:r>
    </w:p>
    <w:p w:rsidR="006976F6" w:rsidRPr="00D24825" w:rsidRDefault="006976F6" w:rsidP="007366F3">
      <w:pPr>
        <w:pStyle w:val="NormalWeb"/>
        <w:spacing w:after="0" w:afterAutospacing="0"/>
        <w:jc w:val="both"/>
        <w:rPr>
          <w:rFonts w:ascii="Georgia" w:hAnsi="Georgia"/>
          <w:sz w:val="22"/>
          <w:szCs w:val="22"/>
          <w:lang w:val="en-GB"/>
        </w:rPr>
      </w:pPr>
      <w:r w:rsidRPr="00D24825">
        <w:rPr>
          <w:rFonts w:ascii="Georgia" w:hAnsi="Georgia"/>
          <w:sz w:val="22"/>
          <w:szCs w:val="22"/>
          <w:lang w:val="en-GB"/>
        </w:rPr>
        <w:t>Consolidating entities have a</w:t>
      </w:r>
      <w:r>
        <w:rPr>
          <w:rFonts w:ascii="Georgia" w:hAnsi="Georgia"/>
          <w:sz w:val="22"/>
          <w:szCs w:val="22"/>
          <w:lang w:val="en-GB"/>
        </w:rPr>
        <w:t>n additional</w:t>
      </w:r>
      <w:r w:rsidRPr="00D24825">
        <w:rPr>
          <w:rFonts w:ascii="Georgia" w:hAnsi="Georgia"/>
          <w:sz w:val="22"/>
          <w:szCs w:val="22"/>
          <w:lang w:val="en-GB"/>
        </w:rPr>
        <w:t xml:space="preserve"> right </w:t>
      </w:r>
      <w:r>
        <w:rPr>
          <w:rFonts w:ascii="Georgia" w:hAnsi="Georgia"/>
          <w:sz w:val="22"/>
          <w:szCs w:val="22"/>
          <w:lang w:val="en-GB"/>
        </w:rPr>
        <w:t xml:space="preserve">to review the data of consolidated entities, as well as compiling reports and inquiries on them in the SSSC database. Consolidating entities have the right (and </w:t>
      </w:r>
      <w:r w:rsidR="00166A2C">
        <w:rPr>
          <w:rFonts w:ascii="Georgia" w:hAnsi="Georgia"/>
          <w:sz w:val="22"/>
          <w:szCs w:val="22"/>
          <w:lang w:val="en-GB"/>
        </w:rPr>
        <w:t>the</w:t>
      </w:r>
      <w:r>
        <w:rPr>
          <w:rFonts w:ascii="Georgia" w:hAnsi="Georgia"/>
          <w:sz w:val="22"/>
          <w:szCs w:val="22"/>
          <w:lang w:val="en-GB"/>
        </w:rPr>
        <w:t xml:space="preserve"> liability) to compile consolidated reports which in the SSSC database are compiled automatically.</w:t>
      </w:r>
    </w:p>
    <w:p w:rsidR="006976F6" w:rsidRDefault="006976F6" w:rsidP="006D5E34">
      <w:pPr>
        <w:rPr>
          <w:rFonts w:ascii="Georgia" w:hAnsi="Georgia"/>
        </w:rPr>
      </w:pPr>
    </w:p>
    <w:p w:rsidR="006976F6" w:rsidRPr="00C47131" w:rsidRDefault="006976F6" w:rsidP="006D5E34">
      <w:pPr>
        <w:rPr>
          <w:rFonts w:ascii="Georgia" w:hAnsi="Georgia"/>
          <w:b/>
          <w:lang w:val="en-GB"/>
        </w:rPr>
      </w:pPr>
      <w:r w:rsidRPr="00C47131">
        <w:rPr>
          <w:rFonts w:ascii="Georgia" w:hAnsi="Georgia"/>
          <w:b/>
          <w:lang w:val="en-GB"/>
        </w:rPr>
        <w:t xml:space="preserve">Government </w:t>
      </w:r>
      <w:r>
        <w:rPr>
          <w:rFonts w:ascii="Georgia" w:hAnsi="Georgia"/>
          <w:b/>
          <w:lang w:val="en-GB"/>
        </w:rPr>
        <w:t>sec</w:t>
      </w:r>
      <w:r w:rsidRPr="00C47131">
        <w:rPr>
          <w:rFonts w:ascii="Georgia" w:hAnsi="Georgia"/>
          <w:b/>
          <w:lang w:val="en-GB"/>
        </w:rPr>
        <w:t>tor reporting entities</w:t>
      </w:r>
    </w:p>
    <w:p w:rsidR="006976F6" w:rsidRDefault="006976F6" w:rsidP="006D5E34">
      <w:pPr>
        <w:rPr>
          <w:rFonts w:ascii="Georgia" w:hAnsi="Georgia"/>
          <w:b/>
        </w:rPr>
      </w:pPr>
    </w:p>
    <w:p w:rsidR="006976F6" w:rsidRPr="00051778" w:rsidRDefault="006976F6" w:rsidP="006D5E34">
      <w:pPr>
        <w:rPr>
          <w:rFonts w:ascii="Georgia" w:hAnsi="Georgia"/>
          <w:lang w:val="en-GB"/>
        </w:rPr>
      </w:pPr>
      <w:r w:rsidRPr="00116F5A">
        <w:rPr>
          <w:rFonts w:ascii="Georgia" w:hAnsi="Georgia"/>
          <w:lang w:val="en-GB"/>
        </w:rPr>
        <w:t xml:space="preserve">The government sector consists of </w:t>
      </w:r>
      <w:r w:rsidR="00573869" w:rsidRPr="00116F5A">
        <w:rPr>
          <w:rFonts w:ascii="Georgia" w:hAnsi="Georgia"/>
          <w:lang w:val="en-GB"/>
        </w:rPr>
        <w:t>central government entities</w:t>
      </w:r>
      <w:r w:rsidRPr="00051778">
        <w:rPr>
          <w:rFonts w:ascii="Georgia" w:hAnsi="Georgia"/>
          <w:lang w:val="en-GB"/>
        </w:rPr>
        <w:t xml:space="preserve">, local government entities, </w:t>
      </w:r>
      <w:r w:rsidR="00573869" w:rsidRPr="00051778">
        <w:rPr>
          <w:rFonts w:ascii="Georgia" w:hAnsi="Georgia"/>
          <w:lang w:val="en-GB"/>
        </w:rPr>
        <w:t>social security funds</w:t>
      </w:r>
      <w:r w:rsidRPr="00051778">
        <w:rPr>
          <w:rFonts w:ascii="Georgia" w:hAnsi="Georgia"/>
          <w:lang w:val="en-GB"/>
        </w:rPr>
        <w:t xml:space="preserve"> and other government sector entities under the direct dominant influence of these three</w:t>
      </w:r>
      <w:r w:rsidR="00166A2C" w:rsidRPr="00051778">
        <w:rPr>
          <w:rFonts w:ascii="Georgia" w:hAnsi="Georgia"/>
          <w:lang w:val="en-GB"/>
        </w:rPr>
        <w:t xml:space="preserve"> subsectors</w:t>
      </w:r>
      <w:r w:rsidRPr="00051778">
        <w:rPr>
          <w:rFonts w:ascii="Georgia" w:hAnsi="Georgia"/>
          <w:lang w:val="en-GB"/>
        </w:rPr>
        <w:t xml:space="preserve"> (mainly foundations, non-profit organisations and few enterprises according to the decision of Estonian Statistical Office).</w:t>
      </w:r>
      <w:r w:rsidR="00116F5A">
        <w:rPr>
          <w:rFonts w:ascii="Georgia" w:hAnsi="Georgia"/>
          <w:lang w:val="en-GB"/>
        </w:rPr>
        <w:t xml:space="preserve"> </w:t>
      </w:r>
      <w:r w:rsidR="00116F5A" w:rsidRPr="00051778">
        <w:rPr>
          <w:rFonts w:ascii="Georgia" w:hAnsi="Georgia"/>
          <w:lang w:val="en-GB"/>
        </w:rPr>
        <w:t xml:space="preserve">Data for state government subsector is not presented </w:t>
      </w:r>
      <w:r w:rsidR="00EA1F65" w:rsidRPr="00051778">
        <w:rPr>
          <w:rFonts w:ascii="Georgia" w:hAnsi="Georgia"/>
          <w:lang w:val="en-GB"/>
        </w:rPr>
        <w:t>as</w:t>
      </w:r>
      <w:r w:rsidR="00D92757" w:rsidRPr="00051778">
        <w:rPr>
          <w:rFonts w:ascii="Georgia" w:hAnsi="Georgia"/>
          <w:lang w:val="en-GB"/>
        </w:rPr>
        <w:t xml:space="preserve"> </w:t>
      </w:r>
      <w:r w:rsidR="00D97B8C" w:rsidRPr="00051778">
        <w:rPr>
          <w:rFonts w:ascii="Georgia" w:hAnsi="Georgia"/>
          <w:lang w:val="en-GB"/>
        </w:rPr>
        <w:t>Estonia is lacking the state government level as defined in EAS 95</w:t>
      </w:r>
      <w:r w:rsidR="00D92757" w:rsidRPr="00051778">
        <w:rPr>
          <w:rFonts w:ascii="Georgia" w:hAnsi="Georgia"/>
          <w:lang w:val="en-GB"/>
        </w:rPr>
        <w:t>.</w:t>
      </w:r>
      <w:r w:rsidR="00EA1F65">
        <w:rPr>
          <w:rFonts w:ascii="Georgia" w:hAnsi="Georgia"/>
          <w:lang w:val="en-GB"/>
        </w:rPr>
        <w:t xml:space="preserve"> </w:t>
      </w:r>
    </w:p>
    <w:p w:rsidR="006976F6" w:rsidRPr="00051778" w:rsidRDefault="006976F6" w:rsidP="006D5E34">
      <w:pPr>
        <w:rPr>
          <w:rFonts w:ascii="Georgia" w:hAnsi="Georgia"/>
        </w:rPr>
      </w:pPr>
    </w:p>
    <w:p w:rsidR="006976F6" w:rsidRPr="00051778" w:rsidRDefault="006976F6" w:rsidP="006D5E34">
      <w:pPr>
        <w:rPr>
          <w:rFonts w:ascii="Georgia" w:hAnsi="Georgia"/>
          <w:lang w:val="en-GB"/>
        </w:rPr>
      </w:pPr>
      <w:r w:rsidRPr="00051778">
        <w:rPr>
          <w:rFonts w:ascii="Georgia" w:hAnsi="Georgia"/>
          <w:lang w:val="en-GB"/>
        </w:rPr>
        <w:t>Subsectors of the government sector consist of the following entities:</w:t>
      </w:r>
    </w:p>
    <w:p w:rsidR="006976F6" w:rsidRPr="00051778" w:rsidRDefault="006976F6" w:rsidP="00051778">
      <w:pPr>
        <w:pStyle w:val="ListParagraph"/>
        <w:numPr>
          <w:ilvl w:val="0"/>
          <w:numId w:val="2"/>
        </w:numPr>
        <w:rPr>
          <w:rFonts w:ascii="Georgia" w:hAnsi="Georgia"/>
          <w:lang w:val="en-GB"/>
        </w:rPr>
      </w:pPr>
      <w:r w:rsidRPr="00051778">
        <w:rPr>
          <w:rFonts w:ascii="Georgia" w:hAnsi="Georgia"/>
          <w:u w:val="single"/>
          <w:lang w:val="en-GB"/>
        </w:rPr>
        <w:t>Central government subsector</w:t>
      </w:r>
      <w:r w:rsidRPr="00051778">
        <w:rPr>
          <w:rFonts w:ascii="Georgia" w:hAnsi="Georgia"/>
          <w:lang w:val="en-GB"/>
        </w:rPr>
        <w:t xml:space="preserve"> – </w:t>
      </w:r>
      <w:r w:rsidR="00573869" w:rsidRPr="00051778">
        <w:rPr>
          <w:rFonts w:ascii="Georgia" w:hAnsi="Georgia"/>
          <w:lang w:val="en-GB"/>
        </w:rPr>
        <w:t>ministries and Govern</w:t>
      </w:r>
      <w:r w:rsidR="00D86EE8" w:rsidRPr="00051778">
        <w:rPr>
          <w:rFonts w:ascii="Georgia" w:hAnsi="Georgia"/>
          <w:lang w:val="en-GB"/>
        </w:rPr>
        <w:t>ment Office with their agencies;</w:t>
      </w:r>
      <w:r w:rsidR="00573869" w:rsidRPr="00051778">
        <w:rPr>
          <w:rFonts w:ascii="Georgia" w:hAnsi="Georgia"/>
          <w:lang w:val="en-GB"/>
        </w:rPr>
        <w:t xml:space="preserve"> constitutional institutions</w:t>
      </w:r>
      <w:r w:rsidR="00D86EE8" w:rsidRPr="00051778">
        <w:rPr>
          <w:rFonts w:ascii="Georgia" w:hAnsi="Georgia"/>
          <w:lang w:val="en-GB"/>
        </w:rPr>
        <w:t>;</w:t>
      </w:r>
      <w:r w:rsidR="00573869" w:rsidRPr="00051778">
        <w:rPr>
          <w:rFonts w:ascii="Georgia" w:hAnsi="Georgia"/>
          <w:lang w:val="en-GB"/>
        </w:rPr>
        <w:t xml:space="preserve"> </w:t>
      </w:r>
      <w:r w:rsidR="00D86EE8" w:rsidRPr="00051778">
        <w:rPr>
          <w:rFonts w:ascii="Georgia" w:hAnsi="Georgia"/>
          <w:lang w:val="en-GB"/>
        </w:rPr>
        <w:t>other legal persons in public law (for example public universities, Estonian Defence League, The Cultural Endowment of Estonia, Estonian Broadcasting, National Opera Estonia, National Library</w:t>
      </w:r>
      <w:r w:rsidR="00116F5A" w:rsidRPr="00051778">
        <w:rPr>
          <w:rFonts w:ascii="Georgia" w:hAnsi="Georgia"/>
          <w:lang w:val="en-GB"/>
        </w:rPr>
        <w:t xml:space="preserve"> etc.</w:t>
      </w:r>
      <w:r w:rsidR="00D86EE8" w:rsidRPr="00051778">
        <w:rPr>
          <w:rFonts w:ascii="Georgia" w:hAnsi="Georgia"/>
          <w:lang w:val="en-GB"/>
        </w:rPr>
        <w:t xml:space="preserve">), </w:t>
      </w:r>
      <w:r w:rsidR="00573869" w:rsidRPr="00051778">
        <w:rPr>
          <w:rFonts w:ascii="Georgia" w:hAnsi="Georgia"/>
          <w:lang w:val="en-GB"/>
        </w:rPr>
        <w:t>and governm</w:t>
      </w:r>
      <w:r w:rsidR="00116F5A" w:rsidRPr="00051778">
        <w:rPr>
          <w:rFonts w:ascii="Georgia" w:hAnsi="Georgia"/>
          <w:lang w:val="en-GB"/>
        </w:rPr>
        <w:t xml:space="preserve">ent sector entities under the </w:t>
      </w:r>
      <w:r w:rsidR="00573869" w:rsidRPr="00051778">
        <w:rPr>
          <w:rFonts w:ascii="Georgia" w:hAnsi="Georgia"/>
          <w:lang w:val="en-GB"/>
        </w:rPr>
        <w:t>direct dominant influence</w:t>
      </w:r>
      <w:r w:rsidR="00116F5A" w:rsidRPr="00051778">
        <w:rPr>
          <w:rFonts w:ascii="Georgia" w:hAnsi="Georgia"/>
          <w:lang w:val="en-GB"/>
        </w:rPr>
        <w:t xml:space="preserve"> of abovementioned units</w:t>
      </w:r>
      <w:r w:rsidR="00573869" w:rsidRPr="00051778">
        <w:rPr>
          <w:rFonts w:ascii="Georgia" w:hAnsi="Georgia"/>
          <w:lang w:val="en-GB"/>
        </w:rPr>
        <w:t xml:space="preserve"> (foundations, State Real Estate Ltd Group, Welfare Services Ltd Group)</w:t>
      </w:r>
      <w:r w:rsidR="00116F5A" w:rsidRPr="00051778">
        <w:rPr>
          <w:rFonts w:ascii="Georgia" w:hAnsi="Georgia"/>
          <w:lang w:val="en-GB"/>
        </w:rPr>
        <w:t xml:space="preserve">. </w:t>
      </w:r>
      <w:r w:rsidRPr="00051778">
        <w:rPr>
          <w:rFonts w:ascii="Georgia" w:hAnsi="Georgia"/>
          <w:lang w:val="en-GB"/>
        </w:rPr>
        <w:t>Estonian Health Insurance Fund and Estonian Unemployment Insurance Fund</w:t>
      </w:r>
      <w:r w:rsidR="00116F5A" w:rsidRPr="00051778">
        <w:rPr>
          <w:rFonts w:ascii="Georgia" w:hAnsi="Georgia"/>
          <w:lang w:val="en-GB"/>
        </w:rPr>
        <w:t xml:space="preserve"> are not included in central government subsector.</w:t>
      </w:r>
    </w:p>
    <w:p w:rsidR="006976F6" w:rsidRDefault="006976F6" w:rsidP="00DB58FF">
      <w:pPr>
        <w:pStyle w:val="ListParagraph"/>
        <w:numPr>
          <w:ilvl w:val="0"/>
          <w:numId w:val="2"/>
        </w:numPr>
        <w:rPr>
          <w:rFonts w:ascii="Georgia" w:hAnsi="Georgia"/>
          <w:lang w:val="en-GB"/>
        </w:rPr>
      </w:pPr>
      <w:r>
        <w:rPr>
          <w:rFonts w:ascii="Georgia" w:hAnsi="Georgia"/>
          <w:u w:val="single"/>
          <w:lang w:val="en-GB"/>
        </w:rPr>
        <w:t xml:space="preserve">Local government subsector </w:t>
      </w:r>
      <w:r>
        <w:rPr>
          <w:rFonts w:ascii="Georgia" w:hAnsi="Georgia"/>
          <w:lang w:val="en-GB"/>
        </w:rPr>
        <w:t>– all local government entities with other government sector entities under their direct dominant influence (foundations, non-profit organisations, and a few enterprises).</w:t>
      </w:r>
    </w:p>
    <w:p w:rsidR="006976F6" w:rsidRPr="00E14A3F" w:rsidRDefault="006976F6" w:rsidP="00E14A3F">
      <w:pPr>
        <w:pStyle w:val="ListParagraph"/>
        <w:numPr>
          <w:ilvl w:val="0"/>
          <w:numId w:val="2"/>
        </w:numPr>
        <w:rPr>
          <w:rFonts w:ascii="Georgia" w:hAnsi="Georgia"/>
          <w:lang w:val="en-GB"/>
        </w:rPr>
      </w:pPr>
      <w:r w:rsidRPr="00E14A3F">
        <w:rPr>
          <w:rFonts w:ascii="Georgia" w:hAnsi="Georgia"/>
          <w:u w:val="single"/>
          <w:lang w:val="en-GB"/>
        </w:rPr>
        <w:t>Social security subsector</w:t>
      </w:r>
      <w:r>
        <w:rPr>
          <w:rFonts w:ascii="Georgia" w:hAnsi="Georgia"/>
          <w:lang w:val="en-GB"/>
        </w:rPr>
        <w:t xml:space="preserve"> - Estonian Health Insurance Fund and Estonian Unemployment Insurance Fund.</w:t>
      </w:r>
    </w:p>
    <w:p w:rsidR="006976F6" w:rsidRDefault="006976F6" w:rsidP="008A5357">
      <w:pPr>
        <w:ind w:left="45"/>
        <w:rPr>
          <w:rFonts w:ascii="Georgia" w:hAnsi="Georgia"/>
          <w:lang w:val="en-GB"/>
        </w:rPr>
      </w:pPr>
    </w:p>
    <w:p w:rsidR="006976F6" w:rsidRPr="00E14A3F" w:rsidRDefault="006976F6" w:rsidP="008A5357">
      <w:pPr>
        <w:ind w:left="45"/>
        <w:rPr>
          <w:rFonts w:ascii="Georgia" w:hAnsi="Georgia"/>
          <w:b/>
          <w:lang w:val="en-GB"/>
        </w:rPr>
      </w:pPr>
      <w:r>
        <w:rPr>
          <w:rFonts w:ascii="Georgia" w:hAnsi="Georgia"/>
          <w:b/>
          <w:lang w:val="en-GB"/>
        </w:rPr>
        <w:t xml:space="preserve">Publication </w:t>
      </w:r>
      <w:r w:rsidRPr="00E14A3F">
        <w:rPr>
          <w:rFonts w:ascii="Georgia" w:hAnsi="Georgia"/>
          <w:b/>
          <w:lang w:val="en-GB"/>
        </w:rPr>
        <w:t>of data in accordance with</w:t>
      </w:r>
      <w:r>
        <w:rPr>
          <w:rFonts w:ascii="Georgia" w:hAnsi="Georgia"/>
          <w:b/>
          <w:lang w:val="en-GB"/>
        </w:rPr>
        <w:t xml:space="preserve"> the</w:t>
      </w:r>
      <w:r w:rsidRPr="00E14A3F">
        <w:rPr>
          <w:rFonts w:ascii="Georgia" w:hAnsi="Georgia"/>
          <w:b/>
          <w:lang w:val="en-GB"/>
        </w:rPr>
        <w:t xml:space="preserve"> Council Directive 2011/85</w:t>
      </w:r>
    </w:p>
    <w:p w:rsidR="006976F6" w:rsidRDefault="006976F6" w:rsidP="008A5357">
      <w:pPr>
        <w:ind w:left="45"/>
        <w:rPr>
          <w:rFonts w:ascii="Georgia" w:hAnsi="Georgia"/>
        </w:rPr>
      </w:pPr>
    </w:p>
    <w:p w:rsidR="006976F6" w:rsidRPr="00E14A3F" w:rsidRDefault="006976F6" w:rsidP="008A5357">
      <w:pPr>
        <w:ind w:left="45"/>
        <w:rPr>
          <w:rFonts w:ascii="Georgia" w:hAnsi="Georgia"/>
          <w:lang w:val="en-GB"/>
        </w:rPr>
      </w:pPr>
      <w:r w:rsidRPr="00E14A3F">
        <w:rPr>
          <w:rFonts w:ascii="Georgia" w:hAnsi="Georgia"/>
          <w:lang w:val="en-GB"/>
        </w:rPr>
        <w:t>All above</w:t>
      </w:r>
      <w:r>
        <w:rPr>
          <w:rFonts w:ascii="Georgia" w:hAnsi="Georgia"/>
          <w:lang w:val="en-GB"/>
        </w:rPr>
        <w:t xml:space="preserve"> </w:t>
      </w:r>
      <w:r w:rsidRPr="00E14A3F">
        <w:rPr>
          <w:rFonts w:ascii="Georgia" w:hAnsi="Georgia"/>
          <w:lang w:val="en-GB"/>
        </w:rPr>
        <w:t xml:space="preserve">mentioned government </w:t>
      </w:r>
      <w:r>
        <w:rPr>
          <w:rFonts w:ascii="Georgia" w:hAnsi="Georgia"/>
          <w:lang w:val="en-GB"/>
        </w:rPr>
        <w:t>sect</w:t>
      </w:r>
      <w:r w:rsidRPr="00E14A3F">
        <w:rPr>
          <w:rFonts w:ascii="Georgia" w:hAnsi="Georgia"/>
          <w:lang w:val="en-GB"/>
        </w:rPr>
        <w:t xml:space="preserve">or reporting entities </w:t>
      </w:r>
      <w:r>
        <w:rPr>
          <w:rFonts w:ascii="Georgia" w:hAnsi="Georgia"/>
          <w:lang w:val="en-GB"/>
        </w:rPr>
        <w:t>are bound to present their special unified reports to the web-based database of the SSSC by the 25</w:t>
      </w:r>
      <w:r w:rsidRPr="0031431C">
        <w:rPr>
          <w:rFonts w:ascii="Georgia" w:hAnsi="Georgia"/>
          <w:vertAlign w:val="superscript"/>
          <w:lang w:val="en-GB"/>
        </w:rPr>
        <w:t>th</w:t>
      </w:r>
      <w:r>
        <w:rPr>
          <w:rFonts w:ascii="Georgia" w:hAnsi="Georgia"/>
          <w:lang w:val="en-GB"/>
        </w:rPr>
        <w:t xml:space="preserve"> day of each month/quarter about the previous month/quarter. State accounting department of the SSSC will thereafter check if all the entities have inserted their reports and if these meet the requirements of  the public sector accounting principles, including mutual balances between the trade partners, the accurateness of primary balances, the inspection of cash-flow codes and other relevant procedures. On the last day of the month the SSSC compiles a fiscal report on the government sector and subsectors revenues and expenses for the previous month/quarter.</w:t>
      </w:r>
    </w:p>
    <w:p w:rsidR="006976F6" w:rsidRDefault="006976F6" w:rsidP="00E4122F">
      <w:pPr>
        <w:ind w:left="45"/>
        <w:jc w:val="both"/>
        <w:rPr>
          <w:rFonts w:ascii="Georgia" w:hAnsi="Georgia"/>
        </w:rPr>
      </w:pPr>
    </w:p>
    <w:p w:rsidR="006976F6" w:rsidRPr="0057218D" w:rsidRDefault="006976F6" w:rsidP="00E4122F">
      <w:pPr>
        <w:ind w:left="45"/>
        <w:jc w:val="both"/>
        <w:rPr>
          <w:rFonts w:ascii="Georgia" w:hAnsi="Georgia"/>
        </w:rPr>
      </w:pPr>
      <w:r w:rsidRPr="0057218D">
        <w:rPr>
          <w:rFonts w:ascii="Georgia" w:hAnsi="Georgia"/>
          <w:lang w:val="en-GB"/>
        </w:rPr>
        <w:t xml:space="preserve">Primary </w:t>
      </w:r>
      <w:r>
        <w:rPr>
          <w:rFonts w:ascii="Georgia" w:hAnsi="Georgia"/>
          <w:lang w:val="en-GB"/>
        </w:rPr>
        <w:t>report</w:t>
      </w:r>
      <w:r w:rsidRPr="0057218D">
        <w:rPr>
          <w:rFonts w:ascii="Georgia" w:hAnsi="Georgia"/>
          <w:lang w:val="en-GB"/>
        </w:rPr>
        <w:t xml:space="preserve"> on fiscal data will be published on a single dedicated webpage</w:t>
      </w:r>
      <w:r w:rsidRPr="0057218D">
        <w:rPr>
          <w:rFonts w:ascii="Georgia" w:hAnsi="Georgia"/>
        </w:rPr>
        <w:t xml:space="preserve"> of</w:t>
      </w:r>
      <w:r w:rsidRPr="00464F23">
        <w:rPr>
          <w:rFonts w:ascii="Georgia" w:hAnsi="Georgia"/>
          <w:lang w:val="en-GB"/>
        </w:rPr>
        <w:t xml:space="preserve"> </w:t>
      </w:r>
      <w:r w:rsidR="00464F23">
        <w:rPr>
          <w:rFonts w:ascii="Georgia" w:hAnsi="Georgia"/>
          <w:lang w:val="en-GB"/>
        </w:rPr>
        <w:t>the</w:t>
      </w:r>
      <w:r w:rsidR="00051778">
        <w:rPr>
          <w:rFonts w:ascii="Georgia" w:hAnsi="Georgia"/>
          <w:lang w:val="en-GB"/>
        </w:rPr>
        <w:t xml:space="preserve"> </w:t>
      </w:r>
      <w:r w:rsidRPr="0057218D">
        <w:rPr>
          <w:rFonts w:ascii="Georgia" w:hAnsi="Georgia"/>
        </w:rPr>
        <w:t xml:space="preserve">SSSC </w:t>
      </w:r>
    </w:p>
    <w:p w:rsidR="006976F6" w:rsidRDefault="006976F6" w:rsidP="00E4122F">
      <w:pPr>
        <w:ind w:left="45"/>
        <w:jc w:val="both"/>
        <w:rPr>
          <w:rFonts w:ascii="Georgia" w:hAnsi="Georgia"/>
          <w:lang w:val="en-GB"/>
        </w:rPr>
      </w:pPr>
      <w:r w:rsidRPr="0057218D">
        <w:rPr>
          <w:rFonts w:ascii="Georgia" w:hAnsi="Georgia"/>
        </w:rPr>
        <w:t xml:space="preserve"> </w:t>
      </w:r>
      <w:hyperlink r:id="rId8" w:history="1">
        <w:r w:rsidRPr="0057218D">
          <w:rPr>
            <w:rStyle w:val="Hyperlink"/>
            <w:rFonts w:ascii="Georgia" w:hAnsi="Georgia"/>
          </w:rPr>
          <w:t>http://www.rtk</w:t>
        </w:r>
        <w:r w:rsidR="0094129D">
          <w:rPr>
            <w:rStyle w:val="Hyperlink"/>
            <w:rFonts w:ascii="Georgia" w:hAnsi="Georgia"/>
          </w:rPr>
          <w:t>.ee</w:t>
        </w:r>
        <w:r w:rsidRPr="0057218D">
          <w:rPr>
            <w:rStyle w:val="Hyperlink"/>
            <w:rFonts w:ascii="Georgia" w:hAnsi="Georgia"/>
          </w:rPr>
          <w:t>/</w:t>
        </w:r>
        <w:r w:rsidR="0094129D">
          <w:rPr>
            <w:rStyle w:val="Hyperlink"/>
            <w:rFonts w:ascii="Georgia" w:hAnsi="Georgia"/>
          </w:rPr>
          <w:t>f</w:t>
        </w:r>
        <w:r w:rsidR="0094129D" w:rsidRPr="0057218D">
          <w:rPr>
            <w:rStyle w:val="Hyperlink"/>
            <w:rFonts w:ascii="Georgia" w:hAnsi="Georgia"/>
          </w:rPr>
          <w:t>iscal</w:t>
        </w:r>
        <w:r w:rsidRPr="0057218D">
          <w:rPr>
            <w:rStyle w:val="Hyperlink"/>
            <w:rFonts w:ascii="Georgia" w:hAnsi="Georgia"/>
          </w:rPr>
          <w:t>-indicators-CD2011-85</w:t>
        </w:r>
      </w:hyperlink>
      <w:r w:rsidRPr="0057218D">
        <w:rPr>
          <w:rFonts w:ascii="Georgia" w:hAnsi="Georgia"/>
        </w:rPr>
        <w:t xml:space="preserve">  </w:t>
      </w:r>
      <w:r w:rsidRPr="0057218D">
        <w:rPr>
          <w:rFonts w:ascii="Georgia" w:hAnsi="Georgia"/>
          <w:lang w:val="en-GB"/>
        </w:rPr>
        <w:t>on the last day of each month.</w:t>
      </w:r>
      <w:r w:rsidRPr="0057218D">
        <w:rPr>
          <w:rFonts w:ascii="Georgia" w:hAnsi="Georgia"/>
        </w:rPr>
        <w:t xml:space="preserve"> </w:t>
      </w:r>
      <w:r w:rsidRPr="0057218D">
        <w:rPr>
          <w:rFonts w:ascii="Georgia" w:hAnsi="Georgia"/>
          <w:lang w:val="en-GB"/>
        </w:rPr>
        <w:t xml:space="preserve">If estimations have been used instead of direct data in some cases, the note will be added to the table. </w:t>
      </w:r>
    </w:p>
    <w:p w:rsidR="006976F6" w:rsidRPr="0057218D" w:rsidRDefault="006976F6" w:rsidP="00E4122F">
      <w:pPr>
        <w:ind w:left="45"/>
        <w:jc w:val="both"/>
        <w:rPr>
          <w:rFonts w:ascii="Georgia" w:hAnsi="Georgia"/>
          <w:highlight w:val="yellow"/>
          <w:lang w:val="en-GB"/>
        </w:rPr>
      </w:pPr>
      <w:r>
        <w:rPr>
          <w:rFonts w:ascii="Georgia" w:hAnsi="Georgia"/>
          <w:lang w:val="en-GB"/>
        </w:rPr>
        <w:t>Reports will be rene</w:t>
      </w:r>
      <w:bookmarkStart w:id="3" w:name="_GoBack"/>
      <w:bookmarkEnd w:id="3"/>
      <w:r>
        <w:rPr>
          <w:rFonts w:ascii="Georgia" w:hAnsi="Georgia"/>
          <w:lang w:val="en-GB"/>
        </w:rPr>
        <w:t xml:space="preserve">wed </w:t>
      </w:r>
      <w:r w:rsidR="00D97B8C">
        <w:rPr>
          <w:rFonts w:ascii="Georgia" w:hAnsi="Georgia"/>
          <w:lang w:val="en-GB"/>
        </w:rPr>
        <w:t xml:space="preserve">after the completion of the annual accounting report of the state (in </w:t>
      </w:r>
      <w:proofErr w:type="spellStart"/>
      <w:r w:rsidR="00D97B8C">
        <w:rPr>
          <w:rFonts w:ascii="Georgia" w:hAnsi="Georgia"/>
          <w:lang w:val="en-GB"/>
        </w:rPr>
        <w:t>july</w:t>
      </w:r>
      <w:proofErr w:type="spellEnd"/>
      <w:r w:rsidR="00D97B8C">
        <w:rPr>
          <w:rFonts w:ascii="Georgia" w:hAnsi="Georgia"/>
          <w:lang w:val="en-GB"/>
        </w:rPr>
        <w:t>/august for the previous year)</w:t>
      </w:r>
      <w:r>
        <w:rPr>
          <w:rFonts w:ascii="Georgia" w:hAnsi="Georgia"/>
          <w:lang w:val="en-GB"/>
        </w:rPr>
        <w:t>. The date of renewal is published in the report.</w:t>
      </w:r>
    </w:p>
    <w:p w:rsidR="006976F6" w:rsidRPr="00E14A3F" w:rsidRDefault="006976F6" w:rsidP="00E4122F">
      <w:pPr>
        <w:ind w:left="45"/>
        <w:jc w:val="both"/>
        <w:rPr>
          <w:rFonts w:ascii="Georgia" w:hAnsi="Georgia"/>
          <w:highlight w:val="yellow"/>
        </w:rPr>
      </w:pPr>
    </w:p>
    <w:p w:rsidR="006976F6" w:rsidRPr="00FF238A" w:rsidRDefault="006976F6" w:rsidP="00E4122F">
      <w:pPr>
        <w:jc w:val="both"/>
        <w:rPr>
          <w:rFonts w:ascii="Georgia" w:hAnsi="Georgia"/>
        </w:rPr>
      </w:pPr>
    </w:p>
    <w:sectPr w:rsidR="006976F6" w:rsidRPr="00FF238A" w:rsidSect="007E5E4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37B" w:rsidRDefault="0018437B" w:rsidP="00C02DE3">
      <w:r>
        <w:separator/>
      </w:r>
    </w:p>
  </w:endnote>
  <w:endnote w:type="continuationSeparator" w:id="0">
    <w:p w:rsidR="0018437B" w:rsidRDefault="0018437B" w:rsidP="00C02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37B" w:rsidRDefault="0018437B" w:rsidP="00C02DE3">
      <w:r>
        <w:separator/>
      </w:r>
    </w:p>
  </w:footnote>
  <w:footnote w:type="continuationSeparator" w:id="0">
    <w:p w:rsidR="0018437B" w:rsidRDefault="0018437B" w:rsidP="00C02D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86A7C"/>
    <w:multiLevelType w:val="multilevel"/>
    <w:tmpl w:val="C194D580"/>
    <w:lvl w:ilvl="0">
      <w:start w:val="1"/>
      <w:numFmt w:val="decimal"/>
      <w:lvlText w:val="%1."/>
      <w:lvlJc w:val="left"/>
      <w:pPr>
        <w:ind w:left="720" w:hanging="360"/>
      </w:pPr>
      <w:rPr>
        <w:rFonts w:ascii="Times New Roman" w:eastAsia="Times New Roman" w:hAnsi="Times New Roman" w:cs="Times New Roman"/>
      </w:rPr>
    </w:lvl>
    <w:lvl w:ilvl="1">
      <w:start w:val="2"/>
      <w:numFmt w:val="decimal"/>
      <w:isLgl/>
      <w:lvlText w:val="%1.%2."/>
      <w:lvlJc w:val="left"/>
      <w:pPr>
        <w:ind w:left="1429" w:hanging="54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667" w:hanging="720"/>
      </w:pPr>
      <w:rPr>
        <w:rFonts w:cs="Times New Roman" w:hint="default"/>
      </w:rPr>
    </w:lvl>
    <w:lvl w:ilvl="4">
      <w:start w:val="1"/>
      <w:numFmt w:val="decimal"/>
      <w:isLgl/>
      <w:lvlText w:val="%1.%2.%3.%4.%5."/>
      <w:lvlJc w:val="left"/>
      <w:pPr>
        <w:ind w:left="3556" w:hanging="1080"/>
      </w:pPr>
      <w:rPr>
        <w:rFonts w:cs="Times New Roman" w:hint="default"/>
      </w:rPr>
    </w:lvl>
    <w:lvl w:ilvl="5">
      <w:start w:val="1"/>
      <w:numFmt w:val="decimal"/>
      <w:isLgl/>
      <w:lvlText w:val="%1.%2.%3.%4.%5.%6."/>
      <w:lvlJc w:val="left"/>
      <w:pPr>
        <w:ind w:left="4085" w:hanging="1080"/>
      </w:pPr>
      <w:rPr>
        <w:rFonts w:cs="Times New Roman" w:hint="default"/>
      </w:rPr>
    </w:lvl>
    <w:lvl w:ilvl="6">
      <w:start w:val="1"/>
      <w:numFmt w:val="decimal"/>
      <w:isLgl/>
      <w:lvlText w:val="%1.%2.%3.%4.%5.%6.%7."/>
      <w:lvlJc w:val="left"/>
      <w:pPr>
        <w:ind w:left="4974" w:hanging="1440"/>
      </w:pPr>
      <w:rPr>
        <w:rFonts w:cs="Times New Roman" w:hint="default"/>
      </w:rPr>
    </w:lvl>
    <w:lvl w:ilvl="7">
      <w:start w:val="1"/>
      <w:numFmt w:val="decimal"/>
      <w:isLgl/>
      <w:lvlText w:val="%1.%2.%3.%4.%5.%6.%7.%8."/>
      <w:lvlJc w:val="left"/>
      <w:pPr>
        <w:ind w:left="5503" w:hanging="1440"/>
      </w:pPr>
      <w:rPr>
        <w:rFonts w:cs="Times New Roman" w:hint="default"/>
      </w:rPr>
    </w:lvl>
    <w:lvl w:ilvl="8">
      <w:start w:val="1"/>
      <w:numFmt w:val="decimal"/>
      <w:isLgl/>
      <w:lvlText w:val="%1.%2.%3.%4.%5.%6.%7.%8.%9."/>
      <w:lvlJc w:val="left"/>
      <w:pPr>
        <w:ind w:left="6392" w:hanging="1800"/>
      </w:pPr>
      <w:rPr>
        <w:rFonts w:cs="Times New Roman" w:hint="default"/>
      </w:rPr>
    </w:lvl>
  </w:abstractNum>
  <w:abstractNum w:abstractNumId="1">
    <w:nsid w:val="3F0D08E5"/>
    <w:multiLevelType w:val="hybridMultilevel"/>
    <w:tmpl w:val="C6986C3E"/>
    <w:lvl w:ilvl="0" w:tplc="879E43CE">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2">
    <w:nsid w:val="46EF72F0"/>
    <w:multiLevelType w:val="hybridMultilevel"/>
    <w:tmpl w:val="844E245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98D"/>
    <w:rsid w:val="00006C1C"/>
    <w:rsid w:val="00051778"/>
    <w:rsid w:val="00054AB0"/>
    <w:rsid w:val="00083EE3"/>
    <w:rsid w:val="00085BFF"/>
    <w:rsid w:val="000D6E32"/>
    <w:rsid w:val="000F6F32"/>
    <w:rsid w:val="0011368E"/>
    <w:rsid w:val="00116F5A"/>
    <w:rsid w:val="001268F6"/>
    <w:rsid w:val="00133594"/>
    <w:rsid w:val="00145CF7"/>
    <w:rsid w:val="001644BC"/>
    <w:rsid w:val="00166A2C"/>
    <w:rsid w:val="001805B2"/>
    <w:rsid w:val="0018437B"/>
    <w:rsid w:val="001C2097"/>
    <w:rsid w:val="00214E58"/>
    <w:rsid w:val="00232E8D"/>
    <w:rsid w:val="00270452"/>
    <w:rsid w:val="002819A1"/>
    <w:rsid w:val="00291ECB"/>
    <w:rsid w:val="002A54B5"/>
    <w:rsid w:val="002C1D81"/>
    <w:rsid w:val="002C3E7D"/>
    <w:rsid w:val="002E29AF"/>
    <w:rsid w:val="002F4A22"/>
    <w:rsid w:val="0031431C"/>
    <w:rsid w:val="00357376"/>
    <w:rsid w:val="003708A1"/>
    <w:rsid w:val="00371A37"/>
    <w:rsid w:val="00376684"/>
    <w:rsid w:val="00385143"/>
    <w:rsid w:val="003B7DE2"/>
    <w:rsid w:val="003D1D95"/>
    <w:rsid w:val="003E5343"/>
    <w:rsid w:val="003E59BA"/>
    <w:rsid w:val="003F364C"/>
    <w:rsid w:val="004233E3"/>
    <w:rsid w:val="004550FB"/>
    <w:rsid w:val="00464B81"/>
    <w:rsid w:val="00464F23"/>
    <w:rsid w:val="004A7660"/>
    <w:rsid w:val="004D6F71"/>
    <w:rsid w:val="00515783"/>
    <w:rsid w:val="00531201"/>
    <w:rsid w:val="0057218D"/>
    <w:rsid w:val="00573869"/>
    <w:rsid w:val="00577B74"/>
    <w:rsid w:val="00616263"/>
    <w:rsid w:val="00635018"/>
    <w:rsid w:val="00646CE3"/>
    <w:rsid w:val="006932CB"/>
    <w:rsid w:val="006976F6"/>
    <w:rsid w:val="006A260B"/>
    <w:rsid w:val="006C0659"/>
    <w:rsid w:val="006D5E34"/>
    <w:rsid w:val="006E5CE3"/>
    <w:rsid w:val="00701219"/>
    <w:rsid w:val="0070464F"/>
    <w:rsid w:val="007366F3"/>
    <w:rsid w:val="0074178D"/>
    <w:rsid w:val="0077074E"/>
    <w:rsid w:val="00785659"/>
    <w:rsid w:val="007A67A2"/>
    <w:rsid w:val="007C5AD9"/>
    <w:rsid w:val="007D2D4E"/>
    <w:rsid w:val="007E3B9F"/>
    <w:rsid w:val="007E5E4F"/>
    <w:rsid w:val="00804C3C"/>
    <w:rsid w:val="00810086"/>
    <w:rsid w:val="00833C30"/>
    <w:rsid w:val="008439AC"/>
    <w:rsid w:val="00850C5F"/>
    <w:rsid w:val="00853959"/>
    <w:rsid w:val="0088081E"/>
    <w:rsid w:val="00893C65"/>
    <w:rsid w:val="008A5357"/>
    <w:rsid w:val="00927E15"/>
    <w:rsid w:val="0094129D"/>
    <w:rsid w:val="009633F0"/>
    <w:rsid w:val="00977CB4"/>
    <w:rsid w:val="00996E14"/>
    <w:rsid w:val="009A0D9A"/>
    <w:rsid w:val="009B1E01"/>
    <w:rsid w:val="009B6387"/>
    <w:rsid w:val="009C1203"/>
    <w:rsid w:val="009D08CD"/>
    <w:rsid w:val="009D62CD"/>
    <w:rsid w:val="009D7D0B"/>
    <w:rsid w:val="00A07EF1"/>
    <w:rsid w:val="00A614C4"/>
    <w:rsid w:val="00AE4B37"/>
    <w:rsid w:val="00AF05C6"/>
    <w:rsid w:val="00AF198D"/>
    <w:rsid w:val="00B80CF8"/>
    <w:rsid w:val="00BB4F91"/>
    <w:rsid w:val="00C02DE3"/>
    <w:rsid w:val="00C07BA2"/>
    <w:rsid w:val="00C1245C"/>
    <w:rsid w:val="00C16D50"/>
    <w:rsid w:val="00C314B0"/>
    <w:rsid w:val="00C36D8C"/>
    <w:rsid w:val="00C47131"/>
    <w:rsid w:val="00C900EA"/>
    <w:rsid w:val="00C90376"/>
    <w:rsid w:val="00CB7CFF"/>
    <w:rsid w:val="00D24825"/>
    <w:rsid w:val="00D34750"/>
    <w:rsid w:val="00D41625"/>
    <w:rsid w:val="00D42EB0"/>
    <w:rsid w:val="00D77319"/>
    <w:rsid w:val="00D86EE8"/>
    <w:rsid w:val="00D92757"/>
    <w:rsid w:val="00D97B8C"/>
    <w:rsid w:val="00DB58FF"/>
    <w:rsid w:val="00DD4F45"/>
    <w:rsid w:val="00E14A3F"/>
    <w:rsid w:val="00E33B13"/>
    <w:rsid w:val="00E4122F"/>
    <w:rsid w:val="00E44A84"/>
    <w:rsid w:val="00E46D06"/>
    <w:rsid w:val="00E84631"/>
    <w:rsid w:val="00E846EE"/>
    <w:rsid w:val="00E87C38"/>
    <w:rsid w:val="00E949D9"/>
    <w:rsid w:val="00EA1F65"/>
    <w:rsid w:val="00EA2128"/>
    <w:rsid w:val="00ED0145"/>
    <w:rsid w:val="00F11793"/>
    <w:rsid w:val="00F22F24"/>
    <w:rsid w:val="00F619F9"/>
    <w:rsid w:val="00F7591B"/>
    <w:rsid w:val="00F775F7"/>
    <w:rsid w:val="00FA35A5"/>
    <w:rsid w:val="00FC7A55"/>
    <w:rsid w:val="00FD732D"/>
    <w:rsid w:val="00FF238A"/>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366F3"/>
    <w:pPr>
      <w:spacing w:before="100" w:beforeAutospacing="1" w:after="100" w:afterAutospacing="1"/>
    </w:pPr>
    <w:rPr>
      <w:rFonts w:ascii="Times New Roman" w:eastAsia="Times New Roman" w:hAnsi="Times New Roman"/>
      <w:sz w:val="24"/>
      <w:szCs w:val="24"/>
    </w:rPr>
  </w:style>
  <w:style w:type="paragraph" w:styleId="ListParagraph">
    <w:name w:val="List Paragraph"/>
    <w:basedOn w:val="Normal"/>
    <w:uiPriority w:val="99"/>
    <w:qFormat/>
    <w:rsid w:val="00A07EF1"/>
    <w:pPr>
      <w:ind w:left="720"/>
      <w:contextualSpacing/>
    </w:pPr>
  </w:style>
  <w:style w:type="character" w:styleId="Hyperlink">
    <w:name w:val="Hyperlink"/>
    <w:basedOn w:val="DefaultParagraphFont"/>
    <w:uiPriority w:val="99"/>
    <w:rsid w:val="00B80CF8"/>
    <w:rPr>
      <w:rFonts w:cs="Times New Roman"/>
      <w:color w:val="0000FF"/>
      <w:u w:val="singl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Schrif"/>
    <w:basedOn w:val="Normal"/>
    <w:link w:val="FootnoteTextChar"/>
    <w:uiPriority w:val="99"/>
    <w:rsid w:val="00C02DE3"/>
    <w:pPr>
      <w:jc w:val="both"/>
    </w:pPr>
    <w:rPr>
      <w:rFonts w:ascii="Garamond" w:eastAsia="Times New Roman" w:hAnsi="Garamond"/>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locked/>
    <w:rsid w:val="00C02DE3"/>
    <w:rPr>
      <w:rFonts w:ascii="Garamond" w:hAnsi="Garamond" w:cs="Times New Roman"/>
      <w:snapToGrid w:val="0"/>
      <w:sz w:val="20"/>
      <w:szCs w:val="20"/>
      <w:lang w:eastAsia="et-EE"/>
    </w:rPr>
  </w:style>
  <w:style w:type="character" w:styleId="FootnoteReference">
    <w:name w:val="footnote reference"/>
    <w:aliases w:val="Footnote symbol,Ref,de nota al pie,-E Fußnotenzeichen,fr"/>
    <w:basedOn w:val="DefaultParagraphFont"/>
    <w:uiPriority w:val="99"/>
    <w:rsid w:val="00C02DE3"/>
    <w:rPr>
      <w:rFonts w:cs="Times New Roman"/>
      <w:vertAlign w:val="superscript"/>
    </w:rPr>
  </w:style>
  <w:style w:type="paragraph" w:styleId="BalloonText">
    <w:name w:val="Balloon Text"/>
    <w:basedOn w:val="Normal"/>
    <w:link w:val="BalloonTextChar"/>
    <w:uiPriority w:val="99"/>
    <w:semiHidden/>
    <w:rsid w:val="00EA212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7660"/>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1484662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tk/Fiscal-indicators-CD2011-8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02E54-D9B0-4CF4-B0DF-E67401204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1031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Public sector accounting system in Estonia</vt:lpstr>
    </vt:vector>
  </TitlesOfParts>
  <Company>Rahandusministeerium</Company>
  <LinksUpToDate>false</LinksUpToDate>
  <CharactersWithSpaces>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sector accounting system in Estonia</dc:title>
  <dc:subject/>
  <dc:creator>sigrit.kivvistik</dc:creator>
  <cp:keywords/>
  <dc:description/>
  <cp:lastModifiedBy>sigrit.kivvistik</cp:lastModifiedBy>
  <cp:revision>21</cp:revision>
  <dcterms:created xsi:type="dcterms:W3CDTF">2013-12-11T20:29:00Z</dcterms:created>
  <dcterms:modified xsi:type="dcterms:W3CDTF">2017-10-17T09:38:00Z</dcterms:modified>
</cp:coreProperties>
</file>