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2BF" w:rsidRPr="003502BF" w:rsidRDefault="003502BF" w:rsidP="003502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  <w:r w:rsidRPr="003502BF">
        <w:rPr>
          <w:rFonts w:ascii="Times New Roman" w:hAnsi="Times New Roman" w:cs="Times New Roman"/>
          <w:b/>
          <w:color w:val="000000"/>
          <w:sz w:val="32"/>
          <w:szCs w:val="32"/>
        </w:rPr>
        <w:t>Ametnike teenistuslehtede pidamise lõpetamisega kaasnevad muudatused</w:t>
      </w:r>
    </w:p>
    <w:p w:rsidR="003502BF" w:rsidRDefault="003502BF" w:rsidP="003D56E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928" w:rsidRPr="003502BF" w:rsidRDefault="005025F2" w:rsidP="003D56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2BF">
        <w:rPr>
          <w:rFonts w:ascii="Times New Roman" w:hAnsi="Times New Roman" w:cs="Times New Roman"/>
          <w:b/>
          <w:sz w:val="28"/>
          <w:szCs w:val="28"/>
        </w:rPr>
        <w:t xml:space="preserve">Teenistuslehtede </w:t>
      </w:r>
      <w:r w:rsidR="00BF52E2" w:rsidRPr="003502BF">
        <w:rPr>
          <w:rFonts w:ascii="Times New Roman" w:hAnsi="Times New Roman" w:cs="Times New Roman"/>
          <w:b/>
          <w:sz w:val="28"/>
          <w:szCs w:val="28"/>
        </w:rPr>
        <w:t>lõpetamine</w:t>
      </w:r>
    </w:p>
    <w:p w:rsidR="00552928" w:rsidRDefault="00552928" w:rsidP="003D56ED">
      <w:pPr>
        <w:pStyle w:val="Default"/>
        <w:jc w:val="both"/>
      </w:pPr>
    </w:p>
    <w:p w:rsidR="005069EB" w:rsidRDefault="00552928" w:rsidP="003D56E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Avaliku teenistuse seaduse (</w:t>
      </w:r>
      <w:r>
        <w:rPr>
          <w:i/>
          <w:iCs/>
          <w:sz w:val="23"/>
          <w:szCs w:val="23"/>
        </w:rPr>
        <w:t xml:space="preserve">edaspidi </w:t>
      </w:r>
      <w:r>
        <w:rPr>
          <w:sz w:val="23"/>
          <w:szCs w:val="23"/>
        </w:rPr>
        <w:t xml:space="preserve">ATS) § 124 järgi </w:t>
      </w:r>
      <w:r w:rsidRPr="00552928">
        <w:rPr>
          <w:b/>
          <w:sz w:val="23"/>
          <w:szCs w:val="23"/>
        </w:rPr>
        <w:t>lõpetatakse 31. märtsil 2018. a riigi ametiasutustes teenistuslehtede pidamine.</w:t>
      </w:r>
      <w:r>
        <w:rPr>
          <w:sz w:val="23"/>
          <w:szCs w:val="23"/>
        </w:rPr>
        <w:t xml:space="preserve"> </w:t>
      </w:r>
      <w:r w:rsidR="004E64A6">
        <w:rPr>
          <w:sz w:val="23"/>
          <w:szCs w:val="23"/>
        </w:rPr>
        <w:t xml:space="preserve">Samuti </w:t>
      </w:r>
      <w:r w:rsidR="004E64A6" w:rsidRPr="00855012">
        <w:rPr>
          <w:b/>
          <w:sz w:val="23"/>
          <w:szCs w:val="23"/>
        </w:rPr>
        <w:t xml:space="preserve">lõpetatakse </w:t>
      </w:r>
      <w:r w:rsidR="004E64A6" w:rsidRPr="004E64A6">
        <w:rPr>
          <w:b/>
          <w:sz w:val="23"/>
          <w:szCs w:val="23"/>
        </w:rPr>
        <w:t>31. märtsil 2018. a</w:t>
      </w:r>
      <w:r w:rsidR="004E64A6">
        <w:rPr>
          <w:sz w:val="23"/>
          <w:szCs w:val="23"/>
        </w:rPr>
        <w:t xml:space="preserve"> </w:t>
      </w:r>
      <w:r w:rsidR="004E64A6" w:rsidRPr="00855012">
        <w:rPr>
          <w:b/>
          <w:sz w:val="23"/>
          <w:szCs w:val="23"/>
        </w:rPr>
        <w:t>teenistuslehtede pidamine soodustingimustega töölepingu alusel töötavatele isikutele</w:t>
      </w:r>
      <w:r w:rsidR="004E64A6">
        <w:rPr>
          <w:sz w:val="23"/>
          <w:szCs w:val="23"/>
        </w:rPr>
        <w:t>, kuna lõpeb avaliku teenistuse staaži arvestamine riikliku vanaduspensioni suurendamiseks.</w:t>
      </w:r>
    </w:p>
    <w:p w:rsidR="005069EB" w:rsidRDefault="005069EB" w:rsidP="003D56ED">
      <w:pPr>
        <w:pStyle w:val="Default"/>
        <w:jc w:val="both"/>
        <w:rPr>
          <w:sz w:val="23"/>
          <w:szCs w:val="23"/>
        </w:rPr>
      </w:pPr>
    </w:p>
    <w:p w:rsidR="00BC0EDC" w:rsidRDefault="007A4C51" w:rsidP="003D56E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Uue määruse jõustumise ajaks </w:t>
      </w:r>
      <w:r w:rsidR="004E64A6">
        <w:rPr>
          <w:sz w:val="23"/>
          <w:szCs w:val="23"/>
        </w:rPr>
        <w:t>on kõik riigi ametiasutused (v.a julgeolekuasutused) vastavalt avaliku teenistuse seaduse §-le 121 liitunud riigi personali- ja palgaarvestuse andmekoguga (</w:t>
      </w:r>
      <w:r w:rsidR="004E64A6">
        <w:rPr>
          <w:i/>
          <w:iCs/>
          <w:sz w:val="23"/>
          <w:szCs w:val="23"/>
        </w:rPr>
        <w:t xml:space="preserve">edaspidi </w:t>
      </w:r>
      <w:r w:rsidR="004E64A6">
        <w:rPr>
          <w:sz w:val="23"/>
          <w:szCs w:val="23"/>
        </w:rPr>
        <w:t xml:space="preserve">RPPA). Seni teenistuslehele kogutavad andmed, välja arvatud julgeolekuasutuste ja salastatud struktuuriüksuste ametnike andmed, on edaspidi kättesaadavad </w:t>
      </w:r>
      <w:r w:rsidR="00BF52E2">
        <w:rPr>
          <w:sz w:val="23"/>
          <w:szCs w:val="23"/>
        </w:rPr>
        <w:t xml:space="preserve">Riigi personali-ja palgaarvestuse andmekogust </w:t>
      </w:r>
      <w:r w:rsidR="00BF52E2" w:rsidRPr="00BF52E2">
        <w:rPr>
          <w:i/>
          <w:sz w:val="23"/>
          <w:szCs w:val="23"/>
        </w:rPr>
        <w:t xml:space="preserve">(edaspidi </w:t>
      </w:r>
      <w:r w:rsidR="004E64A6" w:rsidRPr="00BF52E2">
        <w:rPr>
          <w:i/>
          <w:sz w:val="23"/>
          <w:szCs w:val="23"/>
        </w:rPr>
        <w:t>RPPA-st</w:t>
      </w:r>
      <w:r w:rsidR="00BF52E2" w:rsidRPr="00BF52E2">
        <w:rPr>
          <w:i/>
          <w:sz w:val="23"/>
          <w:szCs w:val="23"/>
        </w:rPr>
        <w:t>)</w:t>
      </w:r>
      <w:r w:rsidR="004E64A6" w:rsidRPr="00BF52E2">
        <w:rPr>
          <w:i/>
          <w:sz w:val="23"/>
          <w:szCs w:val="23"/>
        </w:rPr>
        <w:t>.</w:t>
      </w:r>
      <w:r w:rsidR="004E64A6">
        <w:rPr>
          <w:sz w:val="23"/>
          <w:szCs w:val="23"/>
        </w:rPr>
        <w:t xml:space="preserve"> Julgeolekuasutustel ja Politsei- ja Piirivalveametil (</w:t>
      </w:r>
      <w:r w:rsidR="004E64A6">
        <w:rPr>
          <w:i/>
          <w:iCs/>
          <w:sz w:val="23"/>
          <w:szCs w:val="23"/>
        </w:rPr>
        <w:t xml:space="preserve">edaspidi </w:t>
      </w:r>
      <w:r w:rsidR="004E64A6">
        <w:rPr>
          <w:sz w:val="23"/>
          <w:szCs w:val="23"/>
        </w:rPr>
        <w:t>PPA) on kohustus anda vajadusel teavet avaliku teenistuse staaži arvutamise</w:t>
      </w:r>
      <w:r w:rsidR="00BF52E2">
        <w:rPr>
          <w:sz w:val="23"/>
          <w:szCs w:val="23"/>
        </w:rPr>
        <w:t>ks ja ametivande andmise kohta.</w:t>
      </w:r>
    </w:p>
    <w:p w:rsidR="00BC0EDC" w:rsidRDefault="00BC0EDC" w:rsidP="003D56ED">
      <w:pPr>
        <w:pStyle w:val="Default"/>
        <w:jc w:val="both"/>
        <w:rPr>
          <w:sz w:val="23"/>
          <w:szCs w:val="23"/>
        </w:rPr>
      </w:pPr>
    </w:p>
    <w:p w:rsidR="00BC0EDC" w:rsidRDefault="00587A37" w:rsidP="003D56E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Kohaliku omavalitsuse (</w:t>
      </w:r>
      <w:r w:rsidRPr="00587A37">
        <w:rPr>
          <w:i/>
          <w:sz w:val="23"/>
          <w:szCs w:val="23"/>
        </w:rPr>
        <w:t xml:space="preserve">edaspidi </w:t>
      </w:r>
      <w:r w:rsidR="004E64A6" w:rsidRPr="00587A37">
        <w:rPr>
          <w:i/>
          <w:sz w:val="23"/>
          <w:szCs w:val="23"/>
        </w:rPr>
        <w:t>KOV</w:t>
      </w:r>
      <w:r>
        <w:rPr>
          <w:sz w:val="23"/>
          <w:szCs w:val="23"/>
        </w:rPr>
        <w:t>)</w:t>
      </w:r>
      <w:r w:rsidR="004E64A6">
        <w:rPr>
          <w:sz w:val="23"/>
          <w:szCs w:val="23"/>
        </w:rPr>
        <w:t xml:space="preserve"> </w:t>
      </w:r>
      <w:r w:rsidR="00BF52E2">
        <w:rPr>
          <w:sz w:val="23"/>
          <w:szCs w:val="23"/>
        </w:rPr>
        <w:t xml:space="preserve">üksuste </w:t>
      </w:r>
      <w:r w:rsidR="004E64A6">
        <w:rPr>
          <w:sz w:val="23"/>
          <w:szCs w:val="23"/>
        </w:rPr>
        <w:t xml:space="preserve">ametiasutused peavad </w:t>
      </w:r>
      <w:r w:rsidR="007A4C51">
        <w:rPr>
          <w:sz w:val="23"/>
          <w:szCs w:val="23"/>
        </w:rPr>
        <w:t xml:space="preserve">ametnike </w:t>
      </w:r>
      <w:r w:rsidR="004E64A6">
        <w:rPr>
          <w:sz w:val="23"/>
          <w:szCs w:val="23"/>
        </w:rPr>
        <w:t xml:space="preserve">teenistuslehti </w:t>
      </w:r>
      <w:r w:rsidR="00E13F47">
        <w:rPr>
          <w:sz w:val="23"/>
          <w:szCs w:val="23"/>
        </w:rPr>
        <w:t>edasi kuni RPPA-</w:t>
      </w:r>
      <w:proofErr w:type="spellStart"/>
      <w:r w:rsidR="00E13F47">
        <w:rPr>
          <w:sz w:val="23"/>
          <w:szCs w:val="23"/>
        </w:rPr>
        <w:t>ga</w:t>
      </w:r>
      <w:proofErr w:type="spellEnd"/>
      <w:r w:rsidR="00E13F47">
        <w:rPr>
          <w:sz w:val="23"/>
          <w:szCs w:val="23"/>
        </w:rPr>
        <w:t xml:space="preserve"> liitumiseni.</w:t>
      </w:r>
    </w:p>
    <w:p w:rsidR="00BC0EDC" w:rsidRDefault="00BC0EDC" w:rsidP="003D56ED">
      <w:pPr>
        <w:pStyle w:val="Default"/>
        <w:jc w:val="both"/>
        <w:rPr>
          <w:sz w:val="23"/>
          <w:szCs w:val="23"/>
        </w:rPr>
      </w:pPr>
    </w:p>
    <w:p w:rsidR="004E64A6" w:rsidRDefault="004E64A6" w:rsidP="003D56E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Julgeolekuasutused ja PPA teen</w:t>
      </w:r>
      <w:r w:rsidR="00587A37">
        <w:rPr>
          <w:sz w:val="23"/>
          <w:szCs w:val="23"/>
        </w:rPr>
        <w:t>istuslehti edasi pidama ei pea.</w:t>
      </w:r>
    </w:p>
    <w:p w:rsidR="004E64A6" w:rsidRDefault="004E64A6" w:rsidP="003D56ED">
      <w:pPr>
        <w:pStyle w:val="Default"/>
        <w:jc w:val="both"/>
        <w:rPr>
          <w:sz w:val="23"/>
          <w:szCs w:val="23"/>
        </w:rPr>
      </w:pPr>
    </w:p>
    <w:p w:rsidR="005A0966" w:rsidRDefault="005069EB" w:rsidP="003D56E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Teenistuslehe lõpetamiseks peavad kõik </w:t>
      </w:r>
      <w:r w:rsidRPr="00E13F47">
        <w:rPr>
          <w:b/>
          <w:sz w:val="23"/>
          <w:szCs w:val="23"/>
        </w:rPr>
        <w:t>riigi ametiasutused</w:t>
      </w:r>
      <w:r>
        <w:rPr>
          <w:sz w:val="23"/>
          <w:szCs w:val="23"/>
        </w:rPr>
        <w:t xml:space="preserve"> (v.a. julgeolekuasutused) tegema teenistuslehe lõpetamise kande</w:t>
      </w:r>
      <w:r w:rsidR="007A4C51">
        <w:rPr>
          <w:sz w:val="23"/>
          <w:szCs w:val="23"/>
        </w:rPr>
        <w:t xml:space="preserve"> ning andma </w:t>
      </w:r>
      <w:r w:rsidR="005A0966" w:rsidRPr="005A0966">
        <w:rPr>
          <w:b/>
          <w:sz w:val="23"/>
          <w:szCs w:val="23"/>
        </w:rPr>
        <w:t>hiljemalt 30.09.2018.a</w:t>
      </w:r>
      <w:r w:rsidR="005A0966">
        <w:rPr>
          <w:sz w:val="23"/>
          <w:szCs w:val="23"/>
        </w:rPr>
        <w:t xml:space="preserve">. </w:t>
      </w:r>
      <w:r w:rsidR="007A4C51">
        <w:rPr>
          <w:sz w:val="23"/>
          <w:szCs w:val="23"/>
        </w:rPr>
        <w:t xml:space="preserve">kesksele hoiustamisele </w:t>
      </w:r>
      <w:proofErr w:type="spellStart"/>
      <w:r w:rsidR="005A0966">
        <w:rPr>
          <w:sz w:val="23"/>
          <w:szCs w:val="23"/>
        </w:rPr>
        <w:t>RTKsse</w:t>
      </w:r>
      <w:proofErr w:type="spellEnd"/>
      <w:r w:rsidR="005A0966">
        <w:rPr>
          <w:sz w:val="23"/>
          <w:szCs w:val="23"/>
        </w:rPr>
        <w:t xml:space="preserve"> </w:t>
      </w:r>
      <w:r w:rsidR="007A4C51">
        <w:rPr>
          <w:sz w:val="23"/>
          <w:szCs w:val="23"/>
        </w:rPr>
        <w:t>kõikide soodustingimustel töötavate töötajate ja teenistuses olevate ametnike teenistuslehed.</w:t>
      </w:r>
    </w:p>
    <w:p w:rsidR="005A0966" w:rsidRDefault="005A0966" w:rsidP="003D56ED">
      <w:pPr>
        <w:pStyle w:val="Default"/>
        <w:jc w:val="both"/>
        <w:rPr>
          <w:sz w:val="23"/>
          <w:szCs w:val="23"/>
        </w:rPr>
      </w:pPr>
    </w:p>
    <w:p w:rsidR="005069EB" w:rsidRDefault="00731481" w:rsidP="003D56E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Riigi ametiasutuste ametnike ja soodustingimustel töötajate teenistuslehed lõpetatakse järgmise kandega:</w:t>
      </w:r>
    </w:p>
    <w:p w:rsidR="005069EB" w:rsidRDefault="005069EB" w:rsidP="003D56ED">
      <w:pPr>
        <w:pStyle w:val="Default"/>
        <w:jc w:val="both"/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1019"/>
        <w:gridCol w:w="1251"/>
        <w:gridCol w:w="2043"/>
        <w:gridCol w:w="2300"/>
        <w:gridCol w:w="1807"/>
      </w:tblGrid>
      <w:tr w:rsidR="005069EB" w:rsidRPr="00BF52E2" w:rsidTr="00731481">
        <w:tc>
          <w:tcPr>
            <w:tcW w:w="642" w:type="dxa"/>
          </w:tcPr>
          <w:p w:rsidR="005069EB" w:rsidRPr="00BF52E2" w:rsidRDefault="005069EB" w:rsidP="003D56ED">
            <w:pPr>
              <w:pStyle w:val="Default"/>
              <w:jc w:val="center"/>
              <w:rPr>
                <w:sz w:val="22"/>
                <w:szCs w:val="22"/>
              </w:rPr>
            </w:pPr>
            <w:r w:rsidRPr="00BF52E2">
              <w:rPr>
                <w:sz w:val="22"/>
                <w:szCs w:val="22"/>
              </w:rPr>
              <w:t>jrk</w:t>
            </w:r>
          </w:p>
        </w:tc>
        <w:tc>
          <w:tcPr>
            <w:tcW w:w="2271" w:type="dxa"/>
            <w:gridSpan w:val="2"/>
          </w:tcPr>
          <w:p w:rsidR="005069EB" w:rsidRPr="00BF52E2" w:rsidRDefault="005069EB" w:rsidP="003D56ED">
            <w:pPr>
              <w:pStyle w:val="Default"/>
              <w:jc w:val="center"/>
              <w:rPr>
                <w:sz w:val="22"/>
                <w:szCs w:val="22"/>
              </w:rPr>
            </w:pPr>
            <w:r w:rsidRPr="00BF52E2">
              <w:rPr>
                <w:sz w:val="22"/>
                <w:szCs w:val="22"/>
              </w:rPr>
              <w:t>Teenistus</w:t>
            </w:r>
          </w:p>
        </w:tc>
        <w:tc>
          <w:tcPr>
            <w:tcW w:w="2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7"/>
            </w:tblGrid>
            <w:tr w:rsidR="005069EB" w:rsidRPr="00BF52E2">
              <w:trPr>
                <w:trHeight w:val="478"/>
              </w:trPr>
              <w:tc>
                <w:tcPr>
                  <w:tcW w:w="0" w:type="auto"/>
                </w:tcPr>
                <w:p w:rsidR="005069EB" w:rsidRPr="00BF52E2" w:rsidRDefault="005069EB" w:rsidP="003D56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F52E2">
                    <w:rPr>
                      <w:rFonts w:ascii="Times New Roman" w:hAnsi="Times New Roman" w:cs="Times New Roman"/>
                      <w:color w:val="000000"/>
                    </w:rPr>
                    <w:t>Ametiasutus, struktuuriüksus, ametikoht; teenistussuhte lõppemisel formuleering viitega seaduse paragrahvile, lõikele, punktile</w:t>
                  </w:r>
                </w:p>
              </w:tc>
            </w:tr>
          </w:tbl>
          <w:p w:rsidR="005069EB" w:rsidRPr="00BF52E2" w:rsidRDefault="005069EB" w:rsidP="003D56E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305" w:type="dxa"/>
          </w:tcPr>
          <w:p w:rsidR="005069EB" w:rsidRPr="00BF52E2" w:rsidRDefault="005069EB" w:rsidP="003D56E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31481" w:rsidRPr="00BF52E2" w:rsidRDefault="00731481" w:rsidP="003D56ED">
            <w:pPr>
              <w:pStyle w:val="Default"/>
              <w:jc w:val="center"/>
              <w:rPr>
                <w:sz w:val="22"/>
                <w:szCs w:val="22"/>
              </w:rPr>
            </w:pPr>
            <w:r w:rsidRPr="00BF52E2">
              <w:rPr>
                <w:sz w:val="22"/>
                <w:szCs w:val="22"/>
              </w:rPr>
              <w:t>Alus</w:t>
            </w:r>
          </w:p>
        </w:tc>
        <w:tc>
          <w:tcPr>
            <w:tcW w:w="1800" w:type="dxa"/>
          </w:tcPr>
          <w:p w:rsidR="00731481" w:rsidRPr="00BF52E2" w:rsidRDefault="00731481" w:rsidP="003D5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91"/>
            </w:tblGrid>
            <w:tr w:rsidR="00731481" w:rsidRPr="00BF52E2">
              <w:trPr>
                <w:trHeight w:val="708"/>
              </w:trPr>
              <w:tc>
                <w:tcPr>
                  <w:tcW w:w="0" w:type="auto"/>
                </w:tcPr>
                <w:p w:rsidR="00731481" w:rsidRPr="00BF52E2" w:rsidRDefault="00731481" w:rsidP="003D56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F52E2">
                    <w:rPr>
                      <w:rFonts w:ascii="Times New Roman" w:hAnsi="Times New Roman" w:cs="Times New Roman"/>
                      <w:color w:val="000000"/>
                    </w:rPr>
                    <w:t>Kande teinud isiku ees- ja perekonnanimi, allkiri ning ametiasutuse pitser</w:t>
                  </w:r>
                </w:p>
              </w:tc>
            </w:tr>
          </w:tbl>
          <w:p w:rsidR="005069EB" w:rsidRPr="00BF52E2" w:rsidRDefault="005069EB" w:rsidP="003D56E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069EB" w:rsidRPr="00BF52E2" w:rsidTr="00731481">
        <w:tc>
          <w:tcPr>
            <w:tcW w:w="642" w:type="dxa"/>
          </w:tcPr>
          <w:p w:rsidR="005069EB" w:rsidRPr="00BF52E2" w:rsidRDefault="005069EB" w:rsidP="003D56E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5069EB" w:rsidRPr="00BF52E2" w:rsidRDefault="005069EB" w:rsidP="003D56ED">
            <w:pPr>
              <w:pStyle w:val="Default"/>
              <w:jc w:val="center"/>
              <w:rPr>
                <w:sz w:val="22"/>
                <w:szCs w:val="22"/>
              </w:rPr>
            </w:pPr>
            <w:r w:rsidRPr="00BF52E2">
              <w:rPr>
                <w:sz w:val="22"/>
                <w:szCs w:val="22"/>
              </w:rPr>
              <w:t>algus</w:t>
            </w:r>
          </w:p>
        </w:tc>
        <w:tc>
          <w:tcPr>
            <w:tcW w:w="1251" w:type="dxa"/>
          </w:tcPr>
          <w:p w:rsidR="005069EB" w:rsidRPr="00BF52E2" w:rsidRDefault="005069EB" w:rsidP="003D56ED">
            <w:pPr>
              <w:pStyle w:val="Default"/>
              <w:jc w:val="center"/>
              <w:rPr>
                <w:sz w:val="22"/>
                <w:szCs w:val="22"/>
              </w:rPr>
            </w:pPr>
            <w:r w:rsidRPr="00BF52E2">
              <w:rPr>
                <w:sz w:val="22"/>
                <w:szCs w:val="22"/>
              </w:rPr>
              <w:t>lõpp</w:t>
            </w:r>
          </w:p>
        </w:tc>
        <w:tc>
          <w:tcPr>
            <w:tcW w:w="2044" w:type="dxa"/>
          </w:tcPr>
          <w:p w:rsidR="005069EB" w:rsidRPr="00BF52E2" w:rsidRDefault="005069EB" w:rsidP="003D56E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305" w:type="dxa"/>
          </w:tcPr>
          <w:p w:rsidR="005069EB" w:rsidRPr="00BF52E2" w:rsidRDefault="005069EB" w:rsidP="003D56E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069EB" w:rsidRPr="00BF52E2" w:rsidRDefault="005069EB" w:rsidP="003D56E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069EB" w:rsidRPr="00BF52E2" w:rsidTr="00731481">
        <w:tc>
          <w:tcPr>
            <w:tcW w:w="642" w:type="dxa"/>
          </w:tcPr>
          <w:p w:rsidR="005069EB" w:rsidRPr="00BF52E2" w:rsidRDefault="005069EB" w:rsidP="003D56ED">
            <w:pPr>
              <w:pStyle w:val="Default"/>
              <w:jc w:val="center"/>
              <w:rPr>
                <w:sz w:val="22"/>
                <w:szCs w:val="22"/>
              </w:rPr>
            </w:pPr>
            <w:r w:rsidRPr="00BF52E2">
              <w:rPr>
                <w:sz w:val="22"/>
                <w:szCs w:val="22"/>
              </w:rPr>
              <w:t>1</w:t>
            </w:r>
          </w:p>
        </w:tc>
        <w:tc>
          <w:tcPr>
            <w:tcW w:w="1020" w:type="dxa"/>
          </w:tcPr>
          <w:p w:rsidR="005069EB" w:rsidRPr="00BF52E2" w:rsidRDefault="005069EB" w:rsidP="003D56ED">
            <w:pPr>
              <w:pStyle w:val="Default"/>
              <w:jc w:val="center"/>
              <w:rPr>
                <w:sz w:val="22"/>
                <w:szCs w:val="22"/>
              </w:rPr>
            </w:pPr>
            <w:r w:rsidRPr="00BF52E2">
              <w:rPr>
                <w:sz w:val="22"/>
                <w:szCs w:val="22"/>
              </w:rPr>
              <w:t>2</w:t>
            </w:r>
          </w:p>
        </w:tc>
        <w:tc>
          <w:tcPr>
            <w:tcW w:w="1251" w:type="dxa"/>
          </w:tcPr>
          <w:p w:rsidR="005069EB" w:rsidRPr="00BF52E2" w:rsidRDefault="005069EB" w:rsidP="003D56ED">
            <w:pPr>
              <w:pStyle w:val="Default"/>
              <w:jc w:val="center"/>
              <w:rPr>
                <w:sz w:val="22"/>
                <w:szCs w:val="22"/>
              </w:rPr>
            </w:pPr>
            <w:r w:rsidRPr="00BF52E2">
              <w:rPr>
                <w:sz w:val="22"/>
                <w:szCs w:val="22"/>
              </w:rPr>
              <w:t>3</w:t>
            </w:r>
          </w:p>
        </w:tc>
        <w:tc>
          <w:tcPr>
            <w:tcW w:w="2044" w:type="dxa"/>
          </w:tcPr>
          <w:p w:rsidR="005069EB" w:rsidRPr="00BF52E2" w:rsidRDefault="005069EB" w:rsidP="003D56ED">
            <w:pPr>
              <w:pStyle w:val="Default"/>
              <w:jc w:val="center"/>
              <w:rPr>
                <w:sz w:val="22"/>
                <w:szCs w:val="22"/>
              </w:rPr>
            </w:pPr>
            <w:r w:rsidRPr="00BF52E2">
              <w:rPr>
                <w:sz w:val="22"/>
                <w:szCs w:val="22"/>
              </w:rPr>
              <w:t>4</w:t>
            </w:r>
          </w:p>
        </w:tc>
        <w:tc>
          <w:tcPr>
            <w:tcW w:w="2305" w:type="dxa"/>
          </w:tcPr>
          <w:p w:rsidR="005069EB" w:rsidRPr="00BF52E2" w:rsidRDefault="005069EB" w:rsidP="003D56ED">
            <w:pPr>
              <w:pStyle w:val="Default"/>
              <w:jc w:val="center"/>
              <w:rPr>
                <w:sz w:val="22"/>
                <w:szCs w:val="22"/>
              </w:rPr>
            </w:pPr>
            <w:r w:rsidRPr="00BF52E2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5069EB" w:rsidRPr="00BF52E2" w:rsidRDefault="005069EB" w:rsidP="003D56ED">
            <w:pPr>
              <w:pStyle w:val="Default"/>
              <w:jc w:val="center"/>
              <w:rPr>
                <w:sz w:val="22"/>
                <w:szCs w:val="22"/>
              </w:rPr>
            </w:pPr>
            <w:r w:rsidRPr="00BF52E2">
              <w:rPr>
                <w:sz w:val="22"/>
                <w:szCs w:val="22"/>
              </w:rPr>
              <w:t>6</w:t>
            </w:r>
          </w:p>
        </w:tc>
      </w:tr>
      <w:tr w:rsidR="00731481" w:rsidRPr="00BF52E2" w:rsidTr="00731481">
        <w:tc>
          <w:tcPr>
            <w:tcW w:w="642" w:type="dxa"/>
          </w:tcPr>
          <w:p w:rsidR="00731481" w:rsidRPr="00BF52E2" w:rsidRDefault="00731481" w:rsidP="003D56E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731481" w:rsidRPr="00BF52E2" w:rsidRDefault="00731481" w:rsidP="003D56E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731481" w:rsidRPr="00EF5F7C" w:rsidRDefault="00731481" w:rsidP="003D56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F5F7C">
              <w:rPr>
                <w:color w:val="auto"/>
                <w:sz w:val="22"/>
                <w:szCs w:val="22"/>
              </w:rPr>
              <w:t>31.03.2018</w:t>
            </w:r>
          </w:p>
          <w:p w:rsidR="00731481" w:rsidRPr="00EF5F7C" w:rsidRDefault="00731481" w:rsidP="003D56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44" w:type="dxa"/>
          </w:tcPr>
          <w:p w:rsidR="00731481" w:rsidRPr="00EF5F7C" w:rsidRDefault="009D22E3" w:rsidP="009D22E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F5F7C">
              <w:rPr>
                <w:color w:val="auto"/>
                <w:sz w:val="22"/>
                <w:szCs w:val="22"/>
              </w:rPr>
              <w:t>Teenistuslehe pidamise kohustuse lõpetamine ATS § 124 lõike 1 või 3 alusel</w:t>
            </w:r>
          </w:p>
        </w:tc>
        <w:tc>
          <w:tcPr>
            <w:tcW w:w="2305" w:type="dxa"/>
          </w:tcPr>
          <w:p w:rsidR="00731481" w:rsidRPr="00EF5F7C" w:rsidRDefault="00731481" w:rsidP="009D22E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</w:tcPr>
          <w:p w:rsidR="00731481" w:rsidRPr="00EF5F7C" w:rsidRDefault="00731481" w:rsidP="003D56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F5F7C">
              <w:rPr>
                <w:color w:val="auto"/>
                <w:sz w:val="22"/>
                <w:szCs w:val="22"/>
              </w:rPr>
              <w:t>Mari Maasikas</w:t>
            </w:r>
          </w:p>
          <w:p w:rsidR="00731481" w:rsidRPr="00EF5F7C" w:rsidRDefault="00731481" w:rsidP="003D56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F5F7C">
              <w:rPr>
                <w:color w:val="auto"/>
                <w:sz w:val="22"/>
                <w:szCs w:val="22"/>
              </w:rPr>
              <w:t>Allkiri ja pitser</w:t>
            </w:r>
          </w:p>
          <w:p w:rsidR="00731481" w:rsidRPr="00EF5F7C" w:rsidRDefault="00731481" w:rsidP="003D56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5069EB" w:rsidRDefault="005069EB" w:rsidP="003D56ED">
      <w:pPr>
        <w:pStyle w:val="Default"/>
        <w:jc w:val="both"/>
        <w:rPr>
          <w:sz w:val="23"/>
          <w:szCs w:val="23"/>
        </w:rPr>
      </w:pPr>
    </w:p>
    <w:p w:rsidR="00E13F47" w:rsidRDefault="00731481" w:rsidP="003D56ED">
      <w:pPr>
        <w:pStyle w:val="Default"/>
        <w:jc w:val="both"/>
        <w:rPr>
          <w:sz w:val="23"/>
          <w:szCs w:val="23"/>
        </w:rPr>
      </w:pPr>
      <w:r w:rsidRPr="005A0966">
        <w:rPr>
          <w:sz w:val="23"/>
          <w:szCs w:val="23"/>
        </w:rPr>
        <w:lastRenderedPageBreak/>
        <w:t xml:space="preserve">KOV </w:t>
      </w:r>
      <w:r w:rsidR="00E13F47">
        <w:rPr>
          <w:sz w:val="23"/>
          <w:szCs w:val="23"/>
        </w:rPr>
        <w:t xml:space="preserve">üksuste </w:t>
      </w:r>
      <w:r w:rsidR="00BC0EDC" w:rsidRPr="005A0966">
        <w:rPr>
          <w:sz w:val="23"/>
          <w:szCs w:val="23"/>
        </w:rPr>
        <w:t xml:space="preserve">ametiasutused </w:t>
      </w:r>
      <w:r w:rsidR="00E13F47">
        <w:rPr>
          <w:sz w:val="23"/>
          <w:szCs w:val="23"/>
        </w:rPr>
        <w:t xml:space="preserve">peavad teenistuslehe lõpetamise kande tegema </w:t>
      </w:r>
      <w:r w:rsidR="00E13F47" w:rsidRPr="00E13F47">
        <w:rPr>
          <w:b/>
          <w:sz w:val="23"/>
          <w:szCs w:val="23"/>
        </w:rPr>
        <w:t xml:space="preserve">ainult soodustingimustel töötavate töötajate </w:t>
      </w:r>
      <w:r w:rsidR="00E13F47">
        <w:rPr>
          <w:sz w:val="23"/>
          <w:szCs w:val="23"/>
        </w:rPr>
        <w:t xml:space="preserve">teenistuslehtedele ning </w:t>
      </w:r>
      <w:r w:rsidR="00BF52E2">
        <w:rPr>
          <w:sz w:val="23"/>
          <w:szCs w:val="23"/>
        </w:rPr>
        <w:t xml:space="preserve">andma need </w:t>
      </w:r>
      <w:r w:rsidR="00E13F47">
        <w:rPr>
          <w:sz w:val="23"/>
          <w:szCs w:val="23"/>
        </w:rPr>
        <w:t xml:space="preserve">samuti </w:t>
      </w:r>
      <w:r w:rsidR="000408E4">
        <w:rPr>
          <w:b/>
          <w:sz w:val="23"/>
          <w:szCs w:val="23"/>
        </w:rPr>
        <w:t>hiljemalt 30.09.201</w:t>
      </w:r>
      <w:r w:rsidR="00E13F47" w:rsidRPr="00E13F47">
        <w:rPr>
          <w:b/>
          <w:sz w:val="23"/>
          <w:szCs w:val="23"/>
        </w:rPr>
        <w:t>8.a.</w:t>
      </w:r>
      <w:r w:rsidR="00E13F47">
        <w:rPr>
          <w:sz w:val="23"/>
          <w:szCs w:val="23"/>
        </w:rPr>
        <w:t xml:space="preserve"> </w:t>
      </w:r>
      <w:proofErr w:type="spellStart"/>
      <w:r w:rsidR="00BF52E2">
        <w:rPr>
          <w:sz w:val="23"/>
          <w:szCs w:val="23"/>
        </w:rPr>
        <w:t>RTK-le</w:t>
      </w:r>
      <w:proofErr w:type="spellEnd"/>
      <w:r w:rsidR="00E13F47">
        <w:rPr>
          <w:sz w:val="23"/>
          <w:szCs w:val="23"/>
        </w:rPr>
        <w:t xml:space="preserve"> kesksele hoiustamisele.</w:t>
      </w:r>
    </w:p>
    <w:p w:rsidR="00E13F47" w:rsidRDefault="00E13F47" w:rsidP="003D56ED">
      <w:pPr>
        <w:pStyle w:val="Default"/>
        <w:jc w:val="both"/>
        <w:rPr>
          <w:sz w:val="23"/>
          <w:szCs w:val="23"/>
        </w:rPr>
      </w:pPr>
    </w:p>
    <w:p w:rsidR="005069EB" w:rsidRDefault="00E13F47" w:rsidP="003D56E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KOV üksuste ametiasutuste </w:t>
      </w:r>
      <w:r w:rsidR="005A0966" w:rsidRPr="005A0966">
        <w:rPr>
          <w:sz w:val="23"/>
          <w:szCs w:val="23"/>
        </w:rPr>
        <w:t>soodustingimustel töötavate töötajate teenistuslehtede lõpetamiseks</w:t>
      </w:r>
      <w:r w:rsidR="005A0966">
        <w:rPr>
          <w:sz w:val="23"/>
          <w:szCs w:val="23"/>
        </w:rPr>
        <w:t xml:space="preserve"> </w:t>
      </w:r>
      <w:r w:rsidR="00BC0EDC">
        <w:rPr>
          <w:sz w:val="23"/>
          <w:szCs w:val="23"/>
        </w:rPr>
        <w:t>järgmise kande</w:t>
      </w:r>
      <w:r>
        <w:rPr>
          <w:sz w:val="23"/>
          <w:szCs w:val="23"/>
        </w:rPr>
        <w:t>ga</w:t>
      </w:r>
      <w:r w:rsidR="00731481">
        <w:rPr>
          <w:sz w:val="23"/>
          <w:szCs w:val="23"/>
        </w:rPr>
        <w:t>:</w:t>
      </w:r>
    </w:p>
    <w:p w:rsidR="00587A37" w:rsidRDefault="00587A37" w:rsidP="003D56ED">
      <w:pPr>
        <w:pStyle w:val="Default"/>
        <w:jc w:val="both"/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1"/>
        <w:gridCol w:w="1019"/>
        <w:gridCol w:w="1251"/>
        <w:gridCol w:w="2043"/>
        <w:gridCol w:w="2301"/>
        <w:gridCol w:w="1807"/>
      </w:tblGrid>
      <w:tr w:rsidR="00731481" w:rsidTr="00587A37">
        <w:tc>
          <w:tcPr>
            <w:tcW w:w="641" w:type="dxa"/>
          </w:tcPr>
          <w:p w:rsidR="00731481" w:rsidRPr="00BF52E2" w:rsidRDefault="00731481" w:rsidP="003D56ED">
            <w:pPr>
              <w:pStyle w:val="Default"/>
              <w:jc w:val="center"/>
              <w:rPr>
                <w:sz w:val="22"/>
                <w:szCs w:val="22"/>
              </w:rPr>
            </w:pPr>
            <w:r w:rsidRPr="00BF52E2">
              <w:rPr>
                <w:sz w:val="22"/>
                <w:szCs w:val="22"/>
              </w:rPr>
              <w:t>jrk</w:t>
            </w:r>
          </w:p>
        </w:tc>
        <w:tc>
          <w:tcPr>
            <w:tcW w:w="2270" w:type="dxa"/>
            <w:gridSpan w:val="2"/>
          </w:tcPr>
          <w:p w:rsidR="00731481" w:rsidRPr="00BF52E2" w:rsidRDefault="00731481" w:rsidP="003D56ED">
            <w:pPr>
              <w:pStyle w:val="Default"/>
              <w:jc w:val="center"/>
              <w:rPr>
                <w:sz w:val="22"/>
                <w:szCs w:val="22"/>
              </w:rPr>
            </w:pPr>
            <w:r w:rsidRPr="00BF52E2">
              <w:rPr>
                <w:sz w:val="22"/>
                <w:szCs w:val="22"/>
              </w:rPr>
              <w:t>Teenistus</w:t>
            </w:r>
          </w:p>
        </w:tc>
        <w:tc>
          <w:tcPr>
            <w:tcW w:w="20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7"/>
            </w:tblGrid>
            <w:tr w:rsidR="00731481" w:rsidRPr="00BF52E2" w:rsidTr="00AC73B8">
              <w:trPr>
                <w:trHeight w:val="478"/>
              </w:trPr>
              <w:tc>
                <w:tcPr>
                  <w:tcW w:w="0" w:type="auto"/>
                </w:tcPr>
                <w:p w:rsidR="00731481" w:rsidRPr="00BF52E2" w:rsidRDefault="00731481" w:rsidP="003D56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F52E2">
                    <w:rPr>
                      <w:rFonts w:ascii="Times New Roman" w:hAnsi="Times New Roman" w:cs="Times New Roman"/>
                      <w:color w:val="000000"/>
                    </w:rPr>
                    <w:t>Ametiasutus, struktuuriüksus, ametikoht; teenistussuhte lõppemisel formuleering viitega seaduse paragrahvile, lõikele, punktile</w:t>
                  </w:r>
                </w:p>
              </w:tc>
            </w:tr>
          </w:tbl>
          <w:p w:rsidR="00731481" w:rsidRPr="00BF52E2" w:rsidRDefault="00731481" w:rsidP="003D56E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</w:tcPr>
          <w:p w:rsidR="00731481" w:rsidRPr="00BF52E2" w:rsidRDefault="00731481" w:rsidP="003D56ED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31481" w:rsidRPr="00BF52E2" w:rsidRDefault="00731481" w:rsidP="003D56ED">
            <w:pPr>
              <w:pStyle w:val="Default"/>
              <w:jc w:val="center"/>
              <w:rPr>
                <w:sz w:val="22"/>
                <w:szCs w:val="22"/>
              </w:rPr>
            </w:pPr>
            <w:r w:rsidRPr="00BF52E2">
              <w:rPr>
                <w:sz w:val="22"/>
                <w:szCs w:val="22"/>
              </w:rPr>
              <w:t>Alus</w:t>
            </w:r>
          </w:p>
        </w:tc>
        <w:tc>
          <w:tcPr>
            <w:tcW w:w="1807" w:type="dxa"/>
          </w:tcPr>
          <w:p w:rsidR="00731481" w:rsidRPr="00BF52E2" w:rsidRDefault="00731481" w:rsidP="003D5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91"/>
            </w:tblGrid>
            <w:tr w:rsidR="00731481" w:rsidRPr="00BF52E2" w:rsidTr="00AC73B8">
              <w:trPr>
                <w:trHeight w:val="708"/>
              </w:trPr>
              <w:tc>
                <w:tcPr>
                  <w:tcW w:w="0" w:type="auto"/>
                </w:tcPr>
                <w:p w:rsidR="00731481" w:rsidRPr="00BF52E2" w:rsidRDefault="00731481" w:rsidP="003D56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F52E2">
                    <w:rPr>
                      <w:rFonts w:ascii="Times New Roman" w:hAnsi="Times New Roman" w:cs="Times New Roman"/>
                      <w:color w:val="000000"/>
                    </w:rPr>
                    <w:t>Kande teinud isiku ees- ja perekonnanimi, allkiri ning ametiasutuse pitser</w:t>
                  </w:r>
                </w:p>
              </w:tc>
            </w:tr>
          </w:tbl>
          <w:p w:rsidR="00731481" w:rsidRPr="00BF52E2" w:rsidRDefault="00731481" w:rsidP="003D56E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31481" w:rsidTr="00587A37">
        <w:tc>
          <w:tcPr>
            <w:tcW w:w="641" w:type="dxa"/>
          </w:tcPr>
          <w:p w:rsidR="00731481" w:rsidRPr="00BF52E2" w:rsidRDefault="00731481" w:rsidP="003D56E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</w:tcPr>
          <w:p w:rsidR="00731481" w:rsidRPr="00BF52E2" w:rsidRDefault="00731481" w:rsidP="003D56ED">
            <w:pPr>
              <w:pStyle w:val="Default"/>
              <w:jc w:val="center"/>
              <w:rPr>
                <w:sz w:val="22"/>
                <w:szCs w:val="22"/>
              </w:rPr>
            </w:pPr>
            <w:r w:rsidRPr="00BF52E2">
              <w:rPr>
                <w:sz w:val="22"/>
                <w:szCs w:val="22"/>
              </w:rPr>
              <w:t>algus</w:t>
            </w:r>
          </w:p>
        </w:tc>
        <w:tc>
          <w:tcPr>
            <w:tcW w:w="1251" w:type="dxa"/>
          </w:tcPr>
          <w:p w:rsidR="00731481" w:rsidRPr="00BF52E2" w:rsidRDefault="00731481" w:rsidP="003D56ED">
            <w:pPr>
              <w:pStyle w:val="Default"/>
              <w:jc w:val="center"/>
              <w:rPr>
                <w:sz w:val="22"/>
                <w:szCs w:val="22"/>
              </w:rPr>
            </w:pPr>
            <w:r w:rsidRPr="00BF52E2">
              <w:rPr>
                <w:sz w:val="22"/>
                <w:szCs w:val="22"/>
              </w:rPr>
              <w:t>lõpp</w:t>
            </w:r>
          </w:p>
        </w:tc>
        <w:tc>
          <w:tcPr>
            <w:tcW w:w="2043" w:type="dxa"/>
          </w:tcPr>
          <w:p w:rsidR="00731481" w:rsidRPr="00BF52E2" w:rsidRDefault="00731481" w:rsidP="003D56E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301" w:type="dxa"/>
          </w:tcPr>
          <w:p w:rsidR="00731481" w:rsidRPr="00BF52E2" w:rsidRDefault="00731481" w:rsidP="003D56E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731481" w:rsidRPr="00BF52E2" w:rsidRDefault="00731481" w:rsidP="003D56E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731481" w:rsidTr="00587A37">
        <w:tc>
          <w:tcPr>
            <w:tcW w:w="641" w:type="dxa"/>
          </w:tcPr>
          <w:p w:rsidR="00731481" w:rsidRPr="00BF52E2" w:rsidRDefault="00731481" w:rsidP="003D56ED">
            <w:pPr>
              <w:pStyle w:val="Default"/>
              <w:jc w:val="center"/>
              <w:rPr>
                <w:sz w:val="22"/>
                <w:szCs w:val="22"/>
              </w:rPr>
            </w:pPr>
            <w:r w:rsidRPr="00BF52E2">
              <w:rPr>
                <w:sz w:val="22"/>
                <w:szCs w:val="22"/>
              </w:rPr>
              <w:t>1</w:t>
            </w:r>
          </w:p>
        </w:tc>
        <w:tc>
          <w:tcPr>
            <w:tcW w:w="1019" w:type="dxa"/>
          </w:tcPr>
          <w:p w:rsidR="00731481" w:rsidRPr="00BF52E2" w:rsidRDefault="00731481" w:rsidP="003D56ED">
            <w:pPr>
              <w:pStyle w:val="Default"/>
              <w:jc w:val="center"/>
              <w:rPr>
                <w:sz w:val="22"/>
                <w:szCs w:val="22"/>
              </w:rPr>
            </w:pPr>
            <w:r w:rsidRPr="00BF52E2">
              <w:rPr>
                <w:sz w:val="22"/>
                <w:szCs w:val="22"/>
              </w:rPr>
              <w:t>2</w:t>
            </w:r>
          </w:p>
        </w:tc>
        <w:tc>
          <w:tcPr>
            <w:tcW w:w="1251" w:type="dxa"/>
          </w:tcPr>
          <w:p w:rsidR="00731481" w:rsidRPr="00BF52E2" w:rsidRDefault="00731481" w:rsidP="003D56ED">
            <w:pPr>
              <w:pStyle w:val="Default"/>
              <w:jc w:val="center"/>
              <w:rPr>
                <w:sz w:val="22"/>
                <w:szCs w:val="22"/>
              </w:rPr>
            </w:pPr>
            <w:r w:rsidRPr="00BF52E2">
              <w:rPr>
                <w:sz w:val="22"/>
                <w:szCs w:val="22"/>
              </w:rPr>
              <w:t>3</w:t>
            </w:r>
          </w:p>
        </w:tc>
        <w:tc>
          <w:tcPr>
            <w:tcW w:w="2043" w:type="dxa"/>
          </w:tcPr>
          <w:p w:rsidR="00731481" w:rsidRPr="00BF52E2" w:rsidRDefault="00731481" w:rsidP="003D56ED">
            <w:pPr>
              <w:pStyle w:val="Default"/>
              <w:jc w:val="center"/>
              <w:rPr>
                <w:sz w:val="22"/>
                <w:szCs w:val="22"/>
              </w:rPr>
            </w:pPr>
            <w:r w:rsidRPr="00BF52E2">
              <w:rPr>
                <w:sz w:val="22"/>
                <w:szCs w:val="22"/>
              </w:rPr>
              <w:t>4</w:t>
            </w:r>
          </w:p>
        </w:tc>
        <w:tc>
          <w:tcPr>
            <w:tcW w:w="2301" w:type="dxa"/>
          </w:tcPr>
          <w:p w:rsidR="00731481" w:rsidRPr="00BF52E2" w:rsidRDefault="00731481" w:rsidP="003D56ED">
            <w:pPr>
              <w:pStyle w:val="Default"/>
              <w:jc w:val="center"/>
              <w:rPr>
                <w:sz w:val="22"/>
                <w:szCs w:val="22"/>
              </w:rPr>
            </w:pPr>
            <w:r w:rsidRPr="00BF52E2">
              <w:rPr>
                <w:sz w:val="22"/>
                <w:szCs w:val="22"/>
              </w:rPr>
              <w:t>5</w:t>
            </w:r>
          </w:p>
        </w:tc>
        <w:tc>
          <w:tcPr>
            <w:tcW w:w="1807" w:type="dxa"/>
          </w:tcPr>
          <w:p w:rsidR="00731481" w:rsidRPr="00BF52E2" w:rsidRDefault="00731481" w:rsidP="003D56ED">
            <w:pPr>
              <w:pStyle w:val="Default"/>
              <w:jc w:val="center"/>
              <w:rPr>
                <w:sz w:val="22"/>
                <w:szCs w:val="22"/>
              </w:rPr>
            </w:pPr>
            <w:r w:rsidRPr="00BF52E2">
              <w:rPr>
                <w:sz w:val="22"/>
                <w:szCs w:val="22"/>
              </w:rPr>
              <w:t>6</w:t>
            </w:r>
          </w:p>
        </w:tc>
      </w:tr>
      <w:tr w:rsidR="00731481" w:rsidTr="00587A37">
        <w:tc>
          <w:tcPr>
            <w:tcW w:w="641" w:type="dxa"/>
          </w:tcPr>
          <w:p w:rsidR="00731481" w:rsidRPr="00BF52E2" w:rsidRDefault="00731481" w:rsidP="003D56E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</w:tcPr>
          <w:p w:rsidR="00731481" w:rsidRPr="00BF52E2" w:rsidRDefault="00731481" w:rsidP="003D56E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731481" w:rsidRPr="00EF5F7C" w:rsidRDefault="00731481" w:rsidP="003D56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F5F7C">
              <w:rPr>
                <w:color w:val="auto"/>
                <w:sz w:val="22"/>
                <w:szCs w:val="22"/>
              </w:rPr>
              <w:t>31.03.2018</w:t>
            </w:r>
          </w:p>
          <w:p w:rsidR="00731481" w:rsidRPr="00EF5F7C" w:rsidRDefault="00731481" w:rsidP="003D56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43" w:type="dxa"/>
          </w:tcPr>
          <w:p w:rsidR="00731481" w:rsidRPr="00EF5F7C" w:rsidRDefault="009D22E3" w:rsidP="009D22E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F5F7C">
              <w:rPr>
                <w:color w:val="auto"/>
                <w:sz w:val="22"/>
                <w:szCs w:val="22"/>
              </w:rPr>
              <w:t>Teenistuslehe pidamise kohustuse lõpetamine ATS § 124 lõike 2 alusel</w:t>
            </w:r>
          </w:p>
        </w:tc>
        <w:tc>
          <w:tcPr>
            <w:tcW w:w="2301" w:type="dxa"/>
          </w:tcPr>
          <w:p w:rsidR="00731481" w:rsidRPr="00EF5F7C" w:rsidRDefault="00731481" w:rsidP="009D22E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07" w:type="dxa"/>
          </w:tcPr>
          <w:p w:rsidR="00731481" w:rsidRPr="00EF5F7C" w:rsidRDefault="00731481" w:rsidP="003D56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F5F7C">
              <w:rPr>
                <w:color w:val="auto"/>
                <w:sz w:val="22"/>
                <w:szCs w:val="22"/>
              </w:rPr>
              <w:t>Heli Plaat</w:t>
            </w:r>
          </w:p>
          <w:p w:rsidR="00731481" w:rsidRPr="00EF5F7C" w:rsidRDefault="00731481" w:rsidP="003D56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F5F7C">
              <w:rPr>
                <w:color w:val="auto"/>
                <w:sz w:val="22"/>
                <w:szCs w:val="22"/>
              </w:rPr>
              <w:t>Allkiri ja pitser</w:t>
            </w:r>
          </w:p>
          <w:p w:rsidR="00731481" w:rsidRPr="00EF5F7C" w:rsidRDefault="00731481" w:rsidP="003D56E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731481" w:rsidRDefault="00731481" w:rsidP="003D56ED">
      <w:pPr>
        <w:pStyle w:val="Default"/>
        <w:jc w:val="both"/>
        <w:rPr>
          <w:sz w:val="23"/>
          <w:szCs w:val="23"/>
        </w:rPr>
      </w:pPr>
    </w:p>
    <w:p w:rsidR="00495E12" w:rsidRDefault="00495E12" w:rsidP="003D56ED">
      <w:pPr>
        <w:pStyle w:val="Default"/>
        <w:jc w:val="both"/>
        <w:rPr>
          <w:sz w:val="23"/>
          <w:szCs w:val="23"/>
        </w:rPr>
      </w:pPr>
    </w:p>
    <w:p w:rsidR="00BF52E2" w:rsidRDefault="00BF52E2" w:rsidP="003D56E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Ametnike ja soodustingimustega töötajate, kes lahkuvad teenistusest või töölt enne </w:t>
      </w:r>
      <w:r w:rsidRPr="00E27FCD">
        <w:rPr>
          <w:b/>
          <w:sz w:val="23"/>
          <w:szCs w:val="23"/>
        </w:rPr>
        <w:t>30.</w:t>
      </w:r>
      <w:r w:rsidR="003502BF">
        <w:rPr>
          <w:b/>
          <w:sz w:val="23"/>
          <w:szCs w:val="23"/>
        </w:rPr>
        <w:t>09.</w:t>
      </w:r>
      <w:r w:rsidRPr="00E27FCD">
        <w:rPr>
          <w:b/>
          <w:sz w:val="23"/>
          <w:szCs w:val="23"/>
        </w:rPr>
        <w:t>2018.a</w:t>
      </w:r>
      <w:r>
        <w:rPr>
          <w:sz w:val="23"/>
          <w:szCs w:val="23"/>
        </w:rPr>
        <w:t xml:space="preserve">, teenistuslehed tuleb </w:t>
      </w:r>
      <w:proofErr w:type="spellStart"/>
      <w:r>
        <w:rPr>
          <w:sz w:val="23"/>
          <w:szCs w:val="23"/>
        </w:rPr>
        <w:t>RTK</w:t>
      </w:r>
      <w:r w:rsidR="000408E4">
        <w:rPr>
          <w:sz w:val="23"/>
          <w:szCs w:val="23"/>
        </w:rPr>
        <w:t>-</w:t>
      </w:r>
      <w:r>
        <w:rPr>
          <w:sz w:val="23"/>
          <w:szCs w:val="23"/>
        </w:rPr>
        <w:t>le</w:t>
      </w:r>
      <w:proofErr w:type="spellEnd"/>
      <w:r>
        <w:rPr>
          <w:sz w:val="23"/>
          <w:szCs w:val="23"/>
        </w:rPr>
        <w:t xml:space="preserve"> </w:t>
      </w:r>
      <w:r w:rsidRPr="007A4C51">
        <w:rPr>
          <w:b/>
          <w:sz w:val="23"/>
          <w:szCs w:val="23"/>
        </w:rPr>
        <w:t>hoiule anda viivitamatult</w:t>
      </w:r>
      <w:r>
        <w:rPr>
          <w:b/>
          <w:sz w:val="23"/>
          <w:szCs w:val="23"/>
        </w:rPr>
        <w:t>.</w:t>
      </w:r>
    </w:p>
    <w:p w:rsidR="00BF52E2" w:rsidRDefault="00BF52E2" w:rsidP="003D56ED">
      <w:pPr>
        <w:pStyle w:val="Default"/>
        <w:jc w:val="both"/>
        <w:rPr>
          <w:sz w:val="23"/>
          <w:szCs w:val="23"/>
        </w:rPr>
      </w:pPr>
    </w:p>
    <w:p w:rsidR="00BF52E2" w:rsidRDefault="00BF52E2" w:rsidP="003D56ED">
      <w:pPr>
        <w:pStyle w:val="Default"/>
        <w:jc w:val="both"/>
        <w:rPr>
          <w:sz w:val="23"/>
          <w:szCs w:val="23"/>
        </w:rPr>
      </w:pPr>
    </w:p>
    <w:p w:rsidR="00E13F47" w:rsidRPr="003502BF" w:rsidRDefault="00E13F47" w:rsidP="003D56ED">
      <w:pPr>
        <w:pStyle w:val="Default"/>
        <w:jc w:val="both"/>
        <w:rPr>
          <w:b/>
          <w:sz w:val="28"/>
          <w:szCs w:val="28"/>
        </w:rPr>
      </w:pPr>
      <w:r w:rsidRPr="003502BF">
        <w:rPr>
          <w:b/>
          <w:sz w:val="28"/>
          <w:szCs w:val="28"/>
        </w:rPr>
        <w:t>Teenistuslehtede keskne hoiustamine</w:t>
      </w:r>
    </w:p>
    <w:p w:rsidR="00E13F47" w:rsidRDefault="00E13F47" w:rsidP="003D56ED">
      <w:pPr>
        <w:pStyle w:val="Default"/>
        <w:jc w:val="both"/>
        <w:rPr>
          <w:sz w:val="23"/>
          <w:szCs w:val="23"/>
        </w:rPr>
      </w:pPr>
    </w:p>
    <w:p w:rsidR="004E64A6" w:rsidRDefault="004E64A6" w:rsidP="003D56E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Üldjuhul toimub teenistuslehtede üleandmine RTK Tartu kontoris </w:t>
      </w:r>
      <w:r w:rsidRPr="003502BF">
        <w:rPr>
          <w:b/>
          <w:sz w:val="23"/>
          <w:szCs w:val="23"/>
        </w:rPr>
        <w:t xml:space="preserve">aadressil </w:t>
      </w:r>
      <w:r w:rsidR="00230D3D" w:rsidRPr="003502BF">
        <w:rPr>
          <w:b/>
          <w:sz w:val="23"/>
          <w:szCs w:val="23"/>
        </w:rPr>
        <w:t>Sõbra 56</w:t>
      </w:r>
      <w:r w:rsidR="00230D3D" w:rsidRPr="0083410C">
        <w:rPr>
          <w:b/>
          <w:sz w:val="23"/>
          <w:szCs w:val="23"/>
        </w:rPr>
        <w:t>,</w:t>
      </w:r>
      <w:r w:rsidR="003502BF" w:rsidRPr="0083410C">
        <w:rPr>
          <w:b/>
          <w:sz w:val="23"/>
          <w:szCs w:val="23"/>
        </w:rPr>
        <w:t xml:space="preserve"> Tartu</w:t>
      </w:r>
      <w:r w:rsidR="003502BF">
        <w:rPr>
          <w:sz w:val="23"/>
          <w:szCs w:val="23"/>
        </w:rPr>
        <w:t xml:space="preserve">, </w:t>
      </w:r>
      <w:r w:rsidR="00230D3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kuid RTK on eraldi kokkuleppel valmis teenistuslehti vastu võtma ka Tallinna kontoris </w:t>
      </w:r>
      <w:r w:rsidRPr="003502BF">
        <w:rPr>
          <w:b/>
          <w:sz w:val="23"/>
          <w:szCs w:val="23"/>
        </w:rPr>
        <w:t>Endla 10a</w:t>
      </w:r>
      <w:r w:rsidR="003502BF">
        <w:rPr>
          <w:b/>
          <w:sz w:val="23"/>
          <w:szCs w:val="23"/>
        </w:rPr>
        <w:t xml:space="preserve">, Tallinn. </w:t>
      </w:r>
      <w:r>
        <w:rPr>
          <w:sz w:val="23"/>
          <w:szCs w:val="23"/>
        </w:rPr>
        <w:t xml:space="preserve">Palume üleandmise aeg kindlasti eelnevalt kokku leppida </w:t>
      </w:r>
      <w:r w:rsidR="003E7182">
        <w:rPr>
          <w:sz w:val="23"/>
          <w:szCs w:val="23"/>
        </w:rPr>
        <w:t xml:space="preserve">telefonil 6638200 või </w:t>
      </w:r>
      <w:proofErr w:type="spellStart"/>
      <w:r w:rsidR="003E7182">
        <w:rPr>
          <w:sz w:val="23"/>
          <w:szCs w:val="23"/>
        </w:rPr>
        <w:t>e-kirja</w:t>
      </w:r>
      <w:proofErr w:type="spellEnd"/>
      <w:r w:rsidR="003E7182">
        <w:rPr>
          <w:sz w:val="23"/>
          <w:szCs w:val="23"/>
        </w:rPr>
        <w:t xml:space="preserve"> teel info@rtk.ee</w:t>
      </w:r>
      <w:r w:rsidR="003D56ED">
        <w:rPr>
          <w:sz w:val="23"/>
          <w:szCs w:val="23"/>
        </w:rPr>
        <w:t>.</w:t>
      </w:r>
    </w:p>
    <w:p w:rsidR="005069EB" w:rsidRDefault="005069EB" w:rsidP="003D56ED">
      <w:pPr>
        <w:pStyle w:val="Default"/>
        <w:jc w:val="both"/>
        <w:rPr>
          <w:sz w:val="23"/>
          <w:szCs w:val="23"/>
        </w:rPr>
      </w:pPr>
    </w:p>
    <w:p w:rsidR="00552928" w:rsidRDefault="005025F2" w:rsidP="003D56ED">
      <w:pPr>
        <w:pStyle w:val="Default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Üle</w:t>
      </w:r>
      <w:r w:rsidR="003E7182">
        <w:rPr>
          <w:sz w:val="23"/>
          <w:szCs w:val="23"/>
        </w:rPr>
        <w:t>antavad</w:t>
      </w:r>
      <w:proofErr w:type="spellEnd"/>
      <w:r w:rsidR="003E7182">
        <w:rPr>
          <w:sz w:val="23"/>
          <w:szCs w:val="23"/>
        </w:rPr>
        <w:t xml:space="preserve"> teenistuslehed </w:t>
      </w:r>
      <w:r w:rsidR="00BF52E2">
        <w:rPr>
          <w:sz w:val="23"/>
          <w:szCs w:val="23"/>
        </w:rPr>
        <w:t>tuleb järjestada</w:t>
      </w:r>
      <w:r w:rsidR="00891683">
        <w:rPr>
          <w:sz w:val="23"/>
          <w:szCs w:val="23"/>
        </w:rPr>
        <w:t xml:space="preserve"> </w:t>
      </w:r>
      <w:r w:rsidR="003E7182">
        <w:rPr>
          <w:sz w:val="23"/>
          <w:szCs w:val="23"/>
        </w:rPr>
        <w:t>perekonnanime järgi tähestikulises järjekorras</w:t>
      </w:r>
      <w:r w:rsidR="003D56ED">
        <w:rPr>
          <w:sz w:val="23"/>
          <w:szCs w:val="23"/>
        </w:rPr>
        <w:t xml:space="preserve"> ja lisada </w:t>
      </w:r>
      <w:r w:rsidR="00230D3D">
        <w:rPr>
          <w:sz w:val="23"/>
          <w:szCs w:val="23"/>
        </w:rPr>
        <w:t xml:space="preserve">juurde üleandmise akt (või kaaskiri) ning </w:t>
      </w:r>
      <w:r w:rsidR="003D56ED">
        <w:rPr>
          <w:sz w:val="23"/>
          <w:szCs w:val="23"/>
        </w:rPr>
        <w:t xml:space="preserve">isikute </w:t>
      </w:r>
      <w:r w:rsidR="00230D3D">
        <w:rPr>
          <w:sz w:val="23"/>
          <w:szCs w:val="23"/>
        </w:rPr>
        <w:t>nimekiri</w:t>
      </w:r>
      <w:r w:rsidR="003D56ED">
        <w:rPr>
          <w:sz w:val="23"/>
          <w:szCs w:val="23"/>
        </w:rPr>
        <w:t xml:space="preserve">, kelle teenistuslehed üle antakse </w:t>
      </w:r>
      <w:r w:rsidR="00230D3D">
        <w:rPr>
          <w:sz w:val="23"/>
          <w:szCs w:val="23"/>
        </w:rPr>
        <w:t>järgmises vormis</w:t>
      </w:r>
      <w:r w:rsidR="00891683">
        <w:rPr>
          <w:sz w:val="23"/>
          <w:szCs w:val="23"/>
        </w:rPr>
        <w:t>.</w:t>
      </w:r>
    </w:p>
    <w:p w:rsidR="00230D3D" w:rsidRDefault="00230D3D" w:rsidP="003D56ED">
      <w:pPr>
        <w:pStyle w:val="Default"/>
        <w:jc w:val="both"/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2126"/>
        <w:gridCol w:w="3397"/>
      </w:tblGrid>
      <w:tr w:rsidR="00230D3D" w:rsidRPr="00CF27EE" w:rsidTr="00AC73B8">
        <w:tc>
          <w:tcPr>
            <w:tcW w:w="562" w:type="dxa"/>
          </w:tcPr>
          <w:p w:rsidR="00230D3D" w:rsidRPr="00CF27EE" w:rsidRDefault="00230D3D" w:rsidP="003D5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7EE">
              <w:rPr>
                <w:rFonts w:ascii="Times New Roman" w:hAnsi="Times New Roman" w:cs="Times New Roman"/>
                <w:sz w:val="24"/>
                <w:szCs w:val="24"/>
              </w:rPr>
              <w:t>jrk</w:t>
            </w:r>
          </w:p>
        </w:tc>
        <w:tc>
          <w:tcPr>
            <w:tcW w:w="1701" w:type="dxa"/>
          </w:tcPr>
          <w:p w:rsidR="00230D3D" w:rsidRPr="00CF27EE" w:rsidRDefault="00230D3D" w:rsidP="003D5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7EE">
              <w:rPr>
                <w:rFonts w:ascii="Times New Roman" w:hAnsi="Times New Roman" w:cs="Times New Roman"/>
                <w:sz w:val="24"/>
                <w:szCs w:val="24"/>
              </w:rPr>
              <w:t>Perekonnanimi</w:t>
            </w:r>
          </w:p>
        </w:tc>
        <w:tc>
          <w:tcPr>
            <w:tcW w:w="1276" w:type="dxa"/>
          </w:tcPr>
          <w:p w:rsidR="00230D3D" w:rsidRPr="00CF27EE" w:rsidRDefault="00230D3D" w:rsidP="003D5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7EE">
              <w:rPr>
                <w:rFonts w:ascii="Times New Roman" w:hAnsi="Times New Roman" w:cs="Times New Roman"/>
                <w:sz w:val="24"/>
                <w:szCs w:val="24"/>
              </w:rPr>
              <w:t>Eesnimi</w:t>
            </w:r>
          </w:p>
        </w:tc>
        <w:tc>
          <w:tcPr>
            <w:tcW w:w="2126" w:type="dxa"/>
          </w:tcPr>
          <w:p w:rsidR="00230D3D" w:rsidRPr="00CF27EE" w:rsidRDefault="00BF52E2" w:rsidP="003D5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30D3D" w:rsidRPr="00CF27EE">
              <w:rPr>
                <w:rFonts w:ascii="Times New Roman" w:hAnsi="Times New Roman" w:cs="Times New Roman"/>
                <w:sz w:val="24"/>
                <w:szCs w:val="24"/>
              </w:rPr>
              <w:t>sikukood</w:t>
            </w:r>
          </w:p>
        </w:tc>
        <w:tc>
          <w:tcPr>
            <w:tcW w:w="3397" w:type="dxa"/>
          </w:tcPr>
          <w:p w:rsidR="00230D3D" w:rsidRPr="00CF27EE" w:rsidRDefault="00230D3D" w:rsidP="003D5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7EE">
              <w:rPr>
                <w:rFonts w:ascii="Times New Roman" w:hAnsi="Times New Roman" w:cs="Times New Roman"/>
                <w:sz w:val="24"/>
                <w:szCs w:val="24"/>
              </w:rPr>
              <w:t>Asutuse nimi</w:t>
            </w:r>
          </w:p>
        </w:tc>
      </w:tr>
      <w:tr w:rsidR="00230D3D" w:rsidRPr="00CF27EE" w:rsidTr="00AC73B8">
        <w:tc>
          <w:tcPr>
            <w:tcW w:w="562" w:type="dxa"/>
          </w:tcPr>
          <w:p w:rsidR="00230D3D" w:rsidRPr="00CF27EE" w:rsidRDefault="00230D3D" w:rsidP="003D5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0D3D" w:rsidRPr="00CF27EE" w:rsidRDefault="00230D3D" w:rsidP="003D5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0D3D" w:rsidRPr="00CF27EE" w:rsidRDefault="00230D3D" w:rsidP="003D5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0D3D" w:rsidRPr="00CF27EE" w:rsidRDefault="00230D3D" w:rsidP="003D5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230D3D" w:rsidRPr="00CF27EE" w:rsidRDefault="00230D3D" w:rsidP="003D5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3D" w:rsidRPr="00CF27EE" w:rsidTr="00AC73B8">
        <w:tc>
          <w:tcPr>
            <w:tcW w:w="562" w:type="dxa"/>
          </w:tcPr>
          <w:p w:rsidR="00230D3D" w:rsidRPr="00CF27EE" w:rsidRDefault="00230D3D" w:rsidP="003D5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0D3D" w:rsidRPr="00CF27EE" w:rsidRDefault="00230D3D" w:rsidP="003D5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0D3D" w:rsidRPr="00CF27EE" w:rsidRDefault="00230D3D" w:rsidP="003D5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0D3D" w:rsidRPr="00CF27EE" w:rsidRDefault="00230D3D" w:rsidP="003D5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:rsidR="00230D3D" w:rsidRPr="00CF27EE" w:rsidRDefault="00230D3D" w:rsidP="003D5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928" w:rsidRDefault="00552928" w:rsidP="003D56ED">
      <w:pPr>
        <w:jc w:val="both"/>
        <w:rPr>
          <w:sz w:val="23"/>
          <w:szCs w:val="23"/>
        </w:rPr>
      </w:pPr>
    </w:p>
    <w:p w:rsidR="005025F2" w:rsidRPr="00BF52E2" w:rsidRDefault="00BF52E2" w:rsidP="003D56ED">
      <w:pPr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Üleantavate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teenistuslehtede nim</w:t>
      </w:r>
      <w:r w:rsidR="003D56ED">
        <w:rPr>
          <w:rFonts w:ascii="Times New Roman" w:hAnsi="Times New Roman" w:cs="Times New Roman"/>
          <w:sz w:val="23"/>
          <w:szCs w:val="23"/>
        </w:rPr>
        <w:t>ekiri</w:t>
      </w:r>
      <w:r>
        <w:rPr>
          <w:rFonts w:ascii="Times New Roman" w:hAnsi="Times New Roman" w:cs="Times New Roman"/>
          <w:sz w:val="23"/>
          <w:szCs w:val="23"/>
        </w:rPr>
        <w:t xml:space="preserve"> tuleb saata </w:t>
      </w:r>
      <w:r w:rsidR="00891683" w:rsidRPr="00BF52E2">
        <w:rPr>
          <w:rFonts w:ascii="Times New Roman" w:hAnsi="Times New Roman" w:cs="Times New Roman"/>
          <w:sz w:val="23"/>
          <w:szCs w:val="23"/>
        </w:rPr>
        <w:t xml:space="preserve">ka </w:t>
      </w:r>
      <w:r w:rsidR="00BC0EDC" w:rsidRPr="00BF52E2">
        <w:rPr>
          <w:rFonts w:ascii="Times New Roman" w:hAnsi="Times New Roman" w:cs="Times New Roman"/>
          <w:sz w:val="23"/>
          <w:szCs w:val="23"/>
        </w:rPr>
        <w:t>elektrooniliselt Exceli tabelina aadressile info@rtk.ee</w:t>
      </w:r>
      <w:r w:rsidR="00891683" w:rsidRPr="00BF52E2">
        <w:rPr>
          <w:rFonts w:ascii="Times New Roman" w:hAnsi="Times New Roman" w:cs="Times New Roman"/>
          <w:sz w:val="23"/>
          <w:szCs w:val="23"/>
        </w:rPr>
        <w:t>.</w:t>
      </w:r>
    </w:p>
    <w:p w:rsidR="005800B3" w:rsidRPr="00BF52E2" w:rsidRDefault="005800B3" w:rsidP="003D56ED">
      <w:pPr>
        <w:overflowPunct w:val="0"/>
        <w:spacing w:line="264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et-EE"/>
        </w:rPr>
      </w:pPr>
    </w:p>
    <w:p w:rsidR="003502BF" w:rsidRDefault="003502BF">
      <w:pPr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et-EE"/>
        </w:rPr>
      </w:pPr>
      <w:r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et-EE"/>
        </w:rPr>
        <w:br w:type="page"/>
      </w:r>
    </w:p>
    <w:p w:rsidR="005A0966" w:rsidRPr="003502BF" w:rsidRDefault="00BF52E2" w:rsidP="003D56ED">
      <w:pPr>
        <w:overflowPunct w:val="0"/>
        <w:spacing w:line="264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et-EE"/>
        </w:rPr>
      </w:pPr>
      <w:r w:rsidRPr="003502BF"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et-EE"/>
        </w:rPr>
        <w:lastRenderedPageBreak/>
        <w:t xml:space="preserve">Informatsiooni saamine avaliku teenistuse staaži </w:t>
      </w:r>
      <w:r w:rsidR="003D56ED" w:rsidRPr="003502BF"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et-EE"/>
        </w:rPr>
        <w:t xml:space="preserve">ning </w:t>
      </w:r>
      <w:r w:rsidRPr="003502BF"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et-EE"/>
        </w:rPr>
        <w:t>ametiv</w:t>
      </w:r>
      <w:r w:rsidR="003D56ED" w:rsidRPr="003502BF"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et-EE"/>
        </w:rPr>
        <w:t>ande andmise aja ja koha kohta.</w:t>
      </w:r>
    </w:p>
    <w:p w:rsidR="00137599" w:rsidRPr="003618A1" w:rsidRDefault="00137599" w:rsidP="003D56ED">
      <w:pPr>
        <w:overflowPunct w:val="0"/>
        <w:spacing w:line="264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et-EE"/>
        </w:rPr>
      </w:pPr>
    </w:p>
    <w:p w:rsidR="003618A1" w:rsidRPr="00137599" w:rsidRDefault="00137599" w:rsidP="003D56ED">
      <w:pPr>
        <w:overflowPunct w:val="0"/>
        <w:spacing w:line="264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</w:rPr>
        <w:t xml:space="preserve">Ametnike avaliku teenistuse staaži arvestus jätkub ka peale 31.03.2018.a. kuna </w:t>
      </w:r>
      <w:r w:rsidR="003618A1" w:rsidRPr="003618A1">
        <w:rPr>
          <w:rFonts w:ascii="Times New Roman" w:hAnsi="Times New Roman" w:cs="Times New Roman"/>
          <w:sz w:val="24"/>
          <w:szCs w:val="24"/>
        </w:rPr>
        <w:t xml:space="preserve">ATS § 26 lg 1 punkti 8 järgi tuleb ametikohale nimetamise haldusaktis märkida teenistussuhte kestus avalikus teenistuses või selle puudumine ametikohale asumise päevale eelneva kuupäeva seisuga. </w:t>
      </w:r>
      <w:r>
        <w:rPr>
          <w:rFonts w:ascii="Times New Roman" w:hAnsi="Times New Roman" w:cs="Times New Roman"/>
          <w:sz w:val="24"/>
          <w:szCs w:val="24"/>
        </w:rPr>
        <w:t xml:space="preserve">Samuti on avaliku teenistuse staaži arvestamine vajalik </w:t>
      </w:r>
      <w:r w:rsidRPr="00137599"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>koondamisest etteteatamise tähtaja pikkuse arvestamiseks</w:t>
      </w:r>
      <w:r>
        <w:rPr>
          <w:rFonts w:ascii="Times New Roman" w:eastAsiaTheme="minorEastAsia" w:hAnsi="Times New Roman" w:cs="Times New Roman"/>
          <w:color w:val="000000"/>
          <w:kern w:val="24"/>
          <w:sz w:val="24"/>
          <w:szCs w:val="24"/>
        </w:rPr>
        <w:t xml:space="preserve">. </w:t>
      </w:r>
      <w:r w:rsidR="003618A1" w:rsidRPr="003618A1">
        <w:rPr>
          <w:rFonts w:ascii="Times New Roman" w:hAnsi="Times New Roman" w:cs="Times New Roman"/>
          <w:sz w:val="24"/>
          <w:szCs w:val="24"/>
        </w:rPr>
        <w:t>Andmed avaliku teenistuse staaži kohta on teenistuslehel või RPPA-s või mõlemas. Seda olenevalt sellest, kus ja kuna ametnik teenistuses on olnud.</w:t>
      </w:r>
    </w:p>
    <w:p w:rsidR="003618A1" w:rsidRPr="003618A1" w:rsidRDefault="003618A1" w:rsidP="003D56ED">
      <w:pPr>
        <w:overflowPunct w:val="0"/>
        <w:spacing w:line="264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et-EE"/>
        </w:rPr>
      </w:pPr>
    </w:p>
    <w:p w:rsidR="00BF52E2" w:rsidRDefault="00BF52E2" w:rsidP="003D56ED">
      <w:pPr>
        <w:overflowPunct w:val="0"/>
        <w:spacing w:line="264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eastAsia="et-EE"/>
        </w:rPr>
      </w:pPr>
      <w:r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eastAsia="et-EE"/>
        </w:rPr>
        <w:t>Peale teenistuslehtede hoiustamisele andmist saab ameti</w:t>
      </w:r>
      <w:r w:rsidR="003618A1"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eastAsia="et-EE"/>
        </w:rPr>
        <w:t>sse</w:t>
      </w:r>
      <w:r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eastAsia="et-EE"/>
        </w:rPr>
        <w:t xml:space="preserve"> nimetamise</w:t>
      </w:r>
      <w:r w:rsidR="003618A1"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eastAsia="et-EE"/>
        </w:rPr>
        <w:t>l info</w:t>
      </w:r>
      <w:r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eastAsia="et-EE"/>
        </w:rPr>
        <w:t xml:space="preserve"> avaliku teenistuse staaži </w:t>
      </w:r>
      <w:r w:rsidR="003618A1"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eastAsia="et-EE"/>
        </w:rPr>
        <w:t xml:space="preserve">kohta infopäringuga </w:t>
      </w:r>
      <w:proofErr w:type="spellStart"/>
      <w:r w:rsidR="003618A1"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eastAsia="et-EE"/>
        </w:rPr>
        <w:t>RTKst</w:t>
      </w:r>
      <w:proofErr w:type="spellEnd"/>
      <w:r w:rsidR="003618A1"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eastAsia="et-EE"/>
        </w:rPr>
        <w:t>.</w:t>
      </w:r>
    </w:p>
    <w:p w:rsidR="003618A1" w:rsidRDefault="003618A1" w:rsidP="003D56ED">
      <w:pPr>
        <w:overflowPunct w:val="0"/>
        <w:spacing w:line="264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eastAsia="et-EE"/>
        </w:rPr>
      </w:pPr>
    </w:p>
    <w:p w:rsidR="003618A1" w:rsidRDefault="003618A1" w:rsidP="003D56ED">
      <w:pPr>
        <w:overflowPunct w:val="0"/>
        <w:spacing w:line="264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eastAsia="et-EE"/>
        </w:rPr>
      </w:pPr>
      <w:r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eastAsia="et-EE"/>
        </w:rPr>
        <w:t>Avaliku teenistuse staaži arvutamiseks info saamiseks tuleb saata lihtkirjalik</w:t>
      </w:r>
      <w:r w:rsidR="003D56ED"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eastAsia="et-EE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eastAsia="et-EE"/>
        </w:rPr>
        <w:t xml:space="preserve">taotlus aadressile </w:t>
      </w:r>
      <w:hyperlink r:id="rId5" w:history="1">
        <w:r w:rsidRPr="00AE5088">
          <w:rPr>
            <w:rStyle w:val="Hyperlink"/>
            <w:rFonts w:ascii="Times New Roman" w:eastAsiaTheme="minorEastAsia" w:hAnsi="Times New Roman" w:cs="Times New Roman"/>
            <w:bCs/>
            <w:kern w:val="24"/>
            <w:sz w:val="24"/>
            <w:szCs w:val="24"/>
            <w:lang w:eastAsia="et-EE"/>
          </w:rPr>
          <w:t>info@rtk.ee</w:t>
        </w:r>
      </w:hyperlink>
      <w:r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eastAsia="et-EE"/>
        </w:rPr>
        <w:t xml:space="preserve"> vähemalt järgmiste andmetega:</w:t>
      </w:r>
    </w:p>
    <w:p w:rsidR="003618A1" w:rsidRDefault="003618A1" w:rsidP="003D56ED">
      <w:pPr>
        <w:overflowPunct w:val="0"/>
        <w:spacing w:line="264" w:lineRule="auto"/>
        <w:contextualSpacing/>
        <w:jc w:val="both"/>
        <w:textAlignment w:val="baseline"/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eastAsia="et-EE"/>
        </w:rPr>
      </w:pPr>
    </w:p>
    <w:p w:rsidR="003618A1" w:rsidRDefault="003D56ED" w:rsidP="003D56ED">
      <w:pPr>
        <w:pStyle w:val="ListParagraph"/>
        <w:numPr>
          <w:ilvl w:val="0"/>
          <w:numId w:val="6"/>
        </w:numPr>
        <w:overflowPunct w:val="0"/>
        <w:spacing w:line="264" w:lineRule="auto"/>
        <w:jc w:val="both"/>
        <w:textAlignment w:val="baseline"/>
        <w:rPr>
          <w:rFonts w:eastAsiaTheme="minorEastAsia"/>
          <w:bCs/>
          <w:color w:val="000000"/>
          <w:kern w:val="24"/>
        </w:rPr>
      </w:pPr>
      <w:r>
        <w:rPr>
          <w:rFonts w:eastAsiaTheme="minorEastAsia"/>
          <w:bCs/>
          <w:color w:val="000000"/>
          <w:kern w:val="24"/>
        </w:rPr>
        <w:t>Isiku e</w:t>
      </w:r>
      <w:r w:rsidR="003618A1">
        <w:rPr>
          <w:rFonts w:eastAsiaTheme="minorEastAsia"/>
          <w:bCs/>
          <w:color w:val="000000"/>
          <w:kern w:val="24"/>
        </w:rPr>
        <w:t xml:space="preserve">es-ja </w:t>
      </w:r>
      <w:r>
        <w:rPr>
          <w:rFonts w:eastAsiaTheme="minorEastAsia"/>
          <w:bCs/>
          <w:color w:val="000000"/>
          <w:kern w:val="24"/>
        </w:rPr>
        <w:t>p</w:t>
      </w:r>
      <w:r w:rsidR="003618A1">
        <w:rPr>
          <w:rFonts w:eastAsiaTheme="minorEastAsia"/>
          <w:bCs/>
          <w:color w:val="000000"/>
          <w:kern w:val="24"/>
        </w:rPr>
        <w:t>erekonnanimi</w:t>
      </w:r>
    </w:p>
    <w:p w:rsidR="003618A1" w:rsidRDefault="003618A1" w:rsidP="003D56ED">
      <w:pPr>
        <w:pStyle w:val="ListParagraph"/>
        <w:numPr>
          <w:ilvl w:val="0"/>
          <w:numId w:val="6"/>
        </w:numPr>
        <w:overflowPunct w:val="0"/>
        <w:spacing w:line="264" w:lineRule="auto"/>
        <w:jc w:val="both"/>
        <w:textAlignment w:val="baseline"/>
        <w:rPr>
          <w:rFonts w:eastAsiaTheme="minorEastAsia"/>
          <w:bCs/>
          <w:color w:val="000000"/>
          <w:kern w:val="24"/>
        </w:rPr>
      </w:pPr>
      <w:r>
        <w:rPr>
          <w:rFonts w:eastAsiaTheme="minorEastAsia"/>
          <w:bCs/>
          <w:color w:val="000000"/>
          <w:kern w:val="24"/>
        </w:rPr>
        <w:t>Isikukood</w:t>
      </w:r>
    </w:p>
    <w:p w:rsidR="003618A1" w:rsidRDefault="003618A1" w:rsidP="003D56ED">
      <w:pPr>
        <w:pStyle w:val="ListParagraph"/>
        <w:numPr>
          <w:ilvl w:val="0"/>
          <w:numId w:val="6"/>
        </w:numPr>
        <w:overflowPunct w:val="0"/>
        <w:spacing w:line="264" w:lineRule="auto"/>
        <w:jc w:val="both"/>
        <w:textAlignment w:val="baseline"/>
        <w:rPr>
          <w:rFonts w:eastAsiaTheme="minorEastAsia"/>
          <w:bCs/>
          <w:color w:val="000000"/>
          <w:kern w:val="24"/>
        </w:rPr>
      </w:pPr>
      <w:r>
        <w:rPr>
          <w:rFonts w:eastAsiaTheme="minorEastAsia"/>
          <w:bCs/>
          <w:color w:val="000000"/>
          <w:kern w:val="24"/>
        </w:rPr>
        <w:t>Staaži seisu kuupäev</w:t>
      </w:r>
      <w:r w:rsidR="003D56ED">
        <w:rPr>
          <w:rFonts w:eastAsiaTheme="minorEastAsia"/>
          <w:bCs/>
          <w:color w:val="000000"/>
          <w:kern w:val="24"/>
        </w:rPr>
        <w:t xml:space="preserve"> (ametisse nimetamisele eelnev päev)</w:t>
      </w:r>
    </w:p>
    <w:p w:rsidR="003618A1" w:rsidRDefault="003618A1" w:rsidP="003D56ED">
      <w:pPr>
        <w:overflowPunct w:val="0"/>
        <w:spacing w:line="264" w:lineRule="auto"/>
        <w:jc w:val="both"/>
        <w:textAlignment w:val="baseline"/>
        <w:rPr>
          <w:rFonts w:eastAsiaTheme="minorEastAsia"/>
          <w:bCs/>
          <w:color w:val="000000"/>
          <w:kern w:val="24"/>
        </w:rPr>
      </w:pPr>
    </w:p>
    <w:p w:rsidR="003618A1" w:rsidRDefault="003618A1" w:rsidP="003D56E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RTK väljastab taotletud andmed </w:t>
      </w:r>
      <w:r w:rsidR="003D56ED" w:rsidRPr="003D56ED">
        <w:rPr>
          <w:b/>
          <w:sz w:val="23"/>
          <w:szCs w:val="23"/>
        </w:rPr>
        <w:t>5</w:t>
      </w:r>
      <w:r w:rsidRPr="003D56ED">
        <w:rPr>
          <w:b/>
          <w:sz w:val="23"/>
          <w:szCs w:val="23"/>
        </w:rPr>
        <w:t xml:space="preserve"> t</w:t>
      </w:r>
      <w:r w:rsidRPr="00BB58A0">
        <w:rPr>
          <w:b/>
          <w:sz w:val="23"/>
          <w:szCs w:val="23"/>
        </w:rPr>
        <w:t>ööpäeva jooksul arvates taotluse saamisest</w:t>
      </w:r>
      <w:r>
        <w:rPr>
          <w:sz w:val="23"/>
          <w:szCs w:val="23"/>
        </w:rPr>
        <w:t>. Info julgeolekuasutuses teenistuses olnud ametniku avaliku teenistuse staaži arvutamiseks, annab julgeolekuasutus, kus ametnik teenistuses oli. PPA salastatud ametikohtadel töötavate ametnike kohta annab info avaliku teen</w:t>
      </w:r>
      <w:r w:rsidR="00BB58A0">
        <w:rPr>
          <w:sz w:val="23"/>
          <w:szCs w:val="23"/>
        </w:rPr>
        <w:t>istuse staaži arvutamiseks PPA.</w:t>
      </w:r>
    </w:p>
    <w:p w:rsidR="00BB58A0" w:rsidRDefault="00BB58A0" w:rsidP="003D56ED">
      <w:pPr>
        <w:pStyle w:val="Default"/>
        <w:jc w:val="both"/>
        <w:rPr>
          <w:sz w:val="23"/>
          <w:szCs w:val="23"/>
        </w:rPr>
      </w:pPr>
    </w:p>
    <w:p w:rsidR="00A7666E" w:rsidRDefault="00A7666E" w:rsidP="00A766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Kui küsitakse infot ametniku kohta, kelle andmeid ei ole </w:t>
      </w:r>
      <w:proofErr w:type="spellStart"/>
      <w:r>
        <w:rPr>
          <w:rFonts w:ascii="Times New Roman" w:hAnsi="Times New Roman" w:cs="Times New Roman"/>
          <w:sz w:val="24"/>
          <w:szCs w:val="24"/>
        </w:rPr>
        <w:t>RPPAs</w:t>
      </w:r>
      <w:proofErr w:type="spellEnd"/>
      <w:r>
        <w:rPr>
          <w:rFonts w:ascii="Times New Roman" w:hAnsi="Times New Roman" w:cs="Times New Roman"/>
          <w:sz w:val="24"/>
          <w:szCs w:val="24"/>
        </w:rPr>
        <w:t>, edastab RTK asutusele koopia ametniku teenistuslehest avaliku teenistuse staaži arvutamiseks.</w:t>
      </w:r>
    </w:p>
    <w:p w:rsidR="00A7666E" w:rsidRDefault="00A7666E" w:rsidP="003D56ED">
      <w:pPr>
        <w:pStyle w:val="Default"/>
        <w:jc w:val="both"/>
        <w:rPr>
          <w:sz w:val="23"/>
          <w:szCs w:val="23"/>
        </w:rPr>
      </w:pPr>
    </w:p>
    <w:p w:rsidR="00BB58A0" w:rsidRPr="00BB58A0" w:rsidRDefault="00BB58A0" w:rsidP="003D56ED">
      <w:pPr>
        <w:jc w:val="both"/>
        <w:rPr>
          <w:rFonts w:ascii="Times New Roman" w:hAnsi="Times New Roman" w:cs="Times New Roman"/>
          <w:sz w:val="24"/>
          <w:szCs w:val="24"/>
        </w:rPr>
      </w:pPr>
      <w:r w:rsidRPr="00BB58A0">
        <w:rPr>
          <w:rFonts w:ascii="Times New Roman" w:hAnsi="Times New Roman" w:cs="Times New Roman"/>
          <w:sz w:val="24"/>
          <w:szCs w:val="24"/>
        </w:rPr>
        <w:t>Vastavalt ATS §-le 27 tuleb ametnikul anda esmakordsel teenistusse asumisel ametivanne. Info ametivande andmise kuupäeva ja asutuse kohta, kellele ametivanne anti, säilitatakse teenistuslehel või RPPA-s.</w:t>
      </w:r>
    </w:p>
    <w:p w:rsidR="00BB58A0" w:rsidRDefault="00BB58A0" w:rsidP="003D56ED">
      <w:pPr>
        <w:pStyle w:val="Default"/>
        <w:jc w:val="both"/>
        <w:rPr>
          <w:sz w:val="23"/>
          <w:szCs w:val="23"/>
        </w:rPr>
      </w:pPr>
    </w:p>
    <w:p w:rsidR="00BB58A0" w:rsidRDefault="00BB58A0" w:rsidP="003D56E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Kui ametnikule ei ole teenistuslehte peetud, tuleb kanne teenistuslehele teha asutusel, kes teenistuslehe avab (</w:t>
      </w:r>
      <w:r w:rsidR="003D56ED" w:rsidRPr="003D56ED">
        <w:rPr>
          <w:b/>
          <w:sz w:val="23"/>
          <w:szCs w:val="23"/>
        </w:rPr>
        <w:t>alates 01.04.2018</w:t>
      </w:r>
      <w:r w:rsidR="003D56ED">
        <w:rPr>
          <w:sz w:val="23"/>
          <w:szCs w:val="23"/>
        </w:rPr>
        <w:t xml:space="preserve"> </w:t>
      </w:r>
      <w:r w:rsidRPr="00BB58A0">
        <w:rPr>
          <w:b/>
          <w:sz w:val="23"/>
          <w:szCs w:val="23"/>
        </w:rPr>
        <w:t>ainult KOV ametiasutused</w:t>
      </w:r>
      <w:r>
        <w:rPr>
          <w:sz w:val="23"/>
          <w:szCs w:val="23"/>
        </w:rPr>
        <w:t>).</w:t>
      </w:r>
      <w:r w:rsidR="003D56ED">
        <w:rPr>
          <w:sz w:val="23"/>
          <w:szCs w:val="23"/>
        </w:rPr>
        <w:t xml:space="preserve"> Riigi ametiasutused uutele ametnikele teenistuslehti ei ava.</w:t>
      </w:r>
    </w:p>
    <w:p w:rsidR="00587A37" w:rsidRDefault="00587A37" w:rsidP="003D56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Ametivande andmise aja ja koha info saamiseks tuleb saata lihtkirjalik taotlus aadressile </w:t>
      </w:r>
      <w:hyperlink r:id="rId6" w:history="1">
        <w:r w:rsidRPr="00AE5088">
          <w:rPr>
            <w:rStyle w:val="Hyperlink"/>
            <w:rFonts w:ascii="Times New Roman" w:hAnsi="Times New Roman" w:cs="Times New Roman"/>
            <w:sz w:val="24"/>
            <w:szCs w:val="24"/>
          </w:rPr>
          <w:t>info@rtk.ee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vähemalt järgmiste andmetega:</w:t>
      </w:r>
    </w:p>
    <w:p w:rsidR="00587A37" w:rsidRDefault="003D56ED" w:rsidP="003D56ED">
      <w:pPr>
        <w:pStyle w:val="ListParagraph"/>
        <w:numPr>
          <w:ilvl w:val="0"/>
          <w:numId w:val="7"/>
        </w:numPr>
        <w:jc w:val="both"/>
      </w:pPr>
      <w:r>
        <w:t>Isiku e</w:t>
      </w:r>
      <w:r w:rsidR="00587A37">
        <w:t>es-ja perekonnanimi</w:t>
      </w:r>
    </w:p>
    <w:p w:rsidR="00587A37" w:rsidRDefault="00587A37" w:rsidP="003D56ED">
      <w:pPr>
        <w:pStyle w:val="ListParagraph"/>
        <w:numPr>
          <w:ilvl w:val="0"/>
          <w:numId w:val="7"/>
        </w:numPr>
        <w:jc w:val="both"/>
      </w:pPr>
      <w:r>
        <w:t>Isikukood</w:t>
      </w:r>
    </w:p>
    <w:p w:rsidR="00587A37" w:rsidRDefault="00587A37" w:rsidP="003D56ED">
      <w:pPr>
        <w:pStyle w:val="ListParagraph"/>
        <w:jc w:val="both"/>
      </w:pPr>
    </w:p>
    <w:p w:rsidR="00552928" w:rsidRPr="00587A37" w:rsidRDefault="00552928" w:rsidP="003D56ED">
      <w:pPr>
        <w:jc w:val="both"/>
        <w:rPr>
          <w:rFonts w:ascii="Times New Roman" w:hAnsi="Times New Roman" w:cs="Times New Roman"/>
          <w:sz w:val="24"/>
          <w:szCs w:val="24"/>
        </w:rPr>
      </w:pPr>
      <w:r w:rsidRPr="00587A37">
        <w:rPr>
          <w:rFonts w:ascii="Times New Roman" w:hAnsi="Times New Roman" w:cs="Times New Roman"/>
          <w:sz w:val="24"/>
          <w:szCs w:val="24"/>
        </w:rPr>
        <w:t xml:space="preserve">RTK väljastab info taotlejale </w:t>
      </w:r>
      <w:r w:rsidRPr="00587A37">
        <w:rPr>
          <w:rFonts w:ascii="Times New Roman" w:hAnsi="Times New Roman" w:cs="Times New Roman"/>
          <w:b/>
          <w:sz w:val="24"/>
          <w:szCs w:val="24"/>
        </w:rPr>
        <w:t>5 tööpäeva jooksul</w:t>
      </w:r>
      <w:r w:rsidRPr="00587A37">
        <w:rPr>
          <w:rFonts w:ascii="Times New Roman" w:hAnsi="Times New Roman" w:cs="Times New Roman"/>
          <w:sz w:val="24"/>
          <w:szCs w:val="24"/>
        </w:rPr>
        <w:t xml:space="preserve"> alates taotluse saamisest.</w:t>
      </w:r>
    </w:p>
    <w:p w:rsidR="00552928" w:rsidRPr="00587A37" w:rsidRDefault="00552928" w:rsidP="003D56ED">
      <w:pPr>
        <w:jc w:val="both"/>
        <w:rPr>
          <w:rFonts w:ascii="Times New Roman" w:hAnsi="Times New Roman" w:cs="Times New Roman"/>
          <w:sz w:val="24"/>
          <w:szCs w:val="24"/>
        </w:rPr>
      </w:pPr>
      <w:r w:rsidRPr="00587A37">
        <w:rPr>
          <w:rFonts w:ascii="Times New Roman" w:hAnsi="Times New Roman" w:cs="Times New Roman"/>
          <w:sz w:val="24"/>
          <w:szCs w:val="24"/>
        </w:rPr>
        <w:t xml:space="preserve">Kuna julgeolekuasutus hoiustab teenistuslehti ise ega ole liitunud ka riigi personali- ja palgaarvestuse andmekoguga, tuleb vajadusel küsida infot julgeolekuasutuses teenistuses olnud </w:t>
      </w:r>
      <w:r w:rsidRPr="00587A37">
        <w:rPr>
          <w:rFonts w:ascii="Times New Roman" w:hAnsi="Times New Roman" w:cs="Times New Roman"/>
          <w:sz w:val="24"/>
          <w:szCs w:val="24"/>
        </w:rPr>
        <w:lastRenderedPageBreak/>
        <w:t>isiku ametivande andmise kohta julgeolekuasutuselt. Sama kehtib PPA kohta</w:t>
      </w:r>
      <w:r w:rsidR="003D56ED">
        <w:rPr>
          <w:rFonts w:ascii="Times New Roman" w:hAnsi="Times New Roman" w:cs="Times New Roman"/>
          <w:sz w:val="24"/>
          <w:szCs w:val="24"/>
        </w:rPr>
        <w:t xml:space="preserve"> salastatud ametikohtade puhul.</w:t>
      </w:r>
    </w:p>
    <w:p w:rsidR="00587A37" w:rsidRDefault="00587A37" w:rsidP="003D56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7599" w:rsidRPr="003502BF" w:rsidRDefault="00137599" w:rsidP="003D56E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02BF">
        <w:rPr>
          <w:rFonts w:ascii="Times New Roman" w:hAnsi="Times New Roman" w:cs="Times New Roman"/>
          <w:b/>
          <w:sz w:val="24"/>
          <w:szCs w:val="24"/>
          <w:u w:val="single"/>
        </w:rPr>
        <w:t>Soodustingimustel töötavatel töötajatel avaliku teenistuse staaži arvestus peale 31.03.2018.a. ei jätku.</w:t>
      </w:r>
    </w:p>
    <w:p w:rsidR="00137599" w:rsidRPr="00137599" w:rsidRDefault="00137599" w:rsidP="003D56E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A37" w:rsidRPr="003502BF" w:rsidRDefault="00587A37" w:rsidP="003D56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2BF">
        <w:rPr>
          <w:rFonts w:ascii="Times New Roman" w:hAnsi="Times New Roman" w:cs="Times New Roman"/>
          <w:b/>
          <w:sz w:val="28"/>
          <w:szCs w:val="28"/>
        </w:rPr>
        <w:t>Teenistuslehe info täiendamine</w:t>
      </w:r>
    </w:p>
    <w:p w:rsidR="00891683" w:rsidRDefault="00891683" w:rsidP="003D56ED">
      <w:pPr>
        <w:jc w:val="both"/>
        <w:rPr>
          <w:rFonts w:ascii="Times New Roman" w:hAnsi="Times New Roman" w:cs="Times New Roman"/>
          <w:sz w:val="24"/>
          <w:szCs w:val="24"/>
        </w:rPr>
      </w:pPr>
      <w:r w:rsidRPr="00587A37">
        <w:rPr>
          <w:rFonts w:ascii="Times New Roman" w:hAnsi="Times New Roman" w:cs="Times New Roman"/>
          <w:sz w:val="24"/>
          <w:szCs w:val="24"/>
        </w:rPr>
        <w:t xml:space="preserve">RTK </w:t>
      </w:r>
      <w:r w:rsidR="00587A37" w:rsidRPr="00587A37">
        <w:rPr>
          <w:rFonts w:ascii="Times New Roman" w:hAnsi="Times New Roman" w:cs="Times New Roman"/>
          <w:sz w:val="24"/>
          <w:szCs w:val="24"/>
        </w:rPr>
        <w:t xml:space="preserve">täiendab olemasolevat </w:t>
      </w:r>
      <w:r w:rsidRPr="00587A37">
        <w:rPr>
          <w:rFonts w:ascii="Times New Roman" w:hAnsi="Times New Roman" w:cs="Times New Roman"/>
          <w:sz w:val="24"/>
          <w:szCs w:val="24"/>
        </w:rPr>
        <w:t>teenistusleh</w:t>
      </w:r>
      <w:r w:rsidR="00587A37" w:rsidRPr="00587A37">
        <w:rPr>
          <w:rFonts w:ascii="Times New Roman" w:hAnsi="Times New Roman" w:cs="Times New Roman"/>
          <w:sz w:val="24"/>
          <w:szCs w:val="24"/>
        </w:rPr>
        <w:t>te</w:t>
      </w:r>
      <w:r w:rsidRPr="00587A37">
        <w:rPr>
          <w:rFonts w:ascii="Times New Roman" w:hAnsi="Times New Roman" w:cs="Times New Roman"/>
          <w:sz w:val="24"/>
          <w:szCs w:val="24"/>
        </w:rPr>
        <w:t xml:space="preserve">, kui ta </w:t>
      </w:r>
      <w:r w:rsidR="00137599">
        <w:rPr>
          <w:rFonts w:ascii="Times New Roman" w:hAnsi="Times New Roman" w:cs="Times New Roman"/>
          <w:sz w:val="24"/>
          <w:szCs w:val="24"/>
        </w:rPr>
        <w:t xml:space="preserve">väljastab </w:t>
      </w:r>
      <w:r w:rsidRPr="00587A37">
        <w:rPr>
          <w:rFonts w:ascii="Times New Roman" w:hAnsi="Times New Roman" w:cs="Times New Roman"/>
          <w:sz w:val="24"/>
          <w:szCs w:val="24"/>
        </w:rPr>
        <w:t>teenistuslehe, mille omanik on enne KOV ametiasutusse teenistusse asumist olnud teenistuses riigi ametiasutuses</w:t>
      </w:r>
      <w:r w:rsidR="00137599">
        <w:rPr>
          <w:rFonts w:ascii="Times New Roman" w:hAnsi="Times New Roman" w:cs="Times New Roman"/>
          <w:sz w:val="24"/>
          <w:szCs w:val="24"/>
        </w:rPr>
        <w:t>,</w:t>
      </w:r>
      <w:r w:rsidR="003D56ED">
        <w:rPr>
          <w:rFonts w:ascii="Times New Roman" w:hAnsi="Times New Roman" w:cs="Times New Roman"/>
          <w:sz w:val="24"/>
          <w:szCs w:val="24"/>
        </w:rPr>
        <w:t xml:space="preserve"> </w:t>
      </w:r>
      <w:r w:rsidRPr="00587A37">
        <w:rPr>
          <w:rFonts w:ascii="Times New Roman" w:hAnsi="Times New Roman" w:cs="Times New Roman"/>
          <w:sz w:val="24"/>
          <w:szCs w:val="24"/>
        </w:rPr>
        <w:t>kellel teenistuslehe pidamise kohustust ei ole</w:t>
      </w:r>
      <w:r w:rsidR="00137599">
        <w:rPr>
          <w:rFonts w:ascii="Times New Roman" w:hAnsi="Times New Roman" w:cs="Times New Roman"/>
          <w:sz w:val="24"/>
          <w:szCs w:val="24"/>
        </w:rPr>
        <w:t>.</w:t>
      </w:r>
      <w:r w:rsidR="00EF5F7C">
        <w:rPr>
          <w:rFonts w:ascii="Times New Roman" w:hAnsi="Times New Roman" w:cs="Times New Roman"/>
          <w:sz w:val="24"/>
          <w:szCs w:val="24"/>
        </w:rPr>
        <w:t xml:space="preserve"> </w:t>
      </w:r>
      <w:r w:rsidRPr="00587A37">
        <w:rPr>
          <w:rFonts w:ascii="Times New Roman" w:hAnsi="Times New Roman" w:cs="Times New Roman"/>
          <w:sz w:val="24"/>
          <w:szCs w:val="24"/>
        </w:rPr>
        <w:t>Sel juhul teeb RTK RPPA aruandluskeskkonnast väljavõtte ametniku vahepealse</w:t>
      </w:r>
      <w:r w:rsidR="00EF5F7C">
        <w:rPr>
          <w:rFonts w:ascii="Times New Roman" w:hAnsi="Times New Roman" w:cs="Times New Roman"/>
          <w:sz w:val="24"/>
          <w:szCs w:val="24"/>
        </w:rPr>
        <w:t xml:space="preserve"> (alates 01.04.2018.a. kuni KOV asutusse teenistusse asumiseni) </w:t>
      </w:r>
      <w:r w:rsidRPr="00587A37">
        <w:rPr>
          <w:rFonts w:ascii="Times New Roman" w:hAnsi="Times New Roman" w:cs="Times New Roman"/>
          <w:sz w:val="24"/>
          <w:szCs w:val="24"/>
        </w:rPr>
        <w:t>teenistuskäigu, avaliku võimu teostamise õiguse peatumise ja distsiplinaarkaristuste kohta ning lisab selle o</w:t>
      </w:r>
      <w:r w:rsidR="003D56ED">
        <w:rPr>
          <w:rFonts w:ascii="Times New Roman" w:hAnsi="Times New Roman" w:cs="Times New Roman"/>
          <w:sz w:val="24"/>
          <w:szCs w:val="24"/>
        </w:rPr>
        <w:t>lemasoleva teenistuslehe vahele ja edastab KOV üksuse asutusele.</w:t>
      </w:r>
    </w:p>
    <w:p w:rsidR="00587A37" w:rsidRPr="00587A37" w:rsidRDefault="00587A37" w:rsidP="00891683">
      <w:pPr>
        <w:rPr>
          <w:rFonts w:ascii="Times New Roman" w:hAnsi="Times New Roman" w:cs="Times New Roman"/>
          <w:sz w:val="24"/>
          <w:szCs w:val="24"/>
        </w:rPr>
      </w:pPr>
    </w:p>
    <w:sectPr w:rsidR="00587A37" w:rsidRPr="00587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C1775"/>
    <w:multiLevelType w:val="hybridMultilevel"/>
    <w:tmpl w:val="1298A1C2"/>
    <w:lvl w:ilvl="0" w:tplc="27D80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303E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9EEE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A0FC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4D1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2AB6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668F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D68F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2C0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5EC1857"/>
    <w:multiLevelType w:val="hybridMultilevel"/>
    <w:tmpl w:val="F8509A70"/>
    <w:lvl w:ilvl="0" w:tplc="52DAE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3A1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C4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8A2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90B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05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C8E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326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A4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EE7071"/>
    <w:multiLevelType w:val="hybridMultilevel"/>
    <w:tmpl w:val="3AF06F6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75960"/>
    <w:multiLevelType w:val="hybridMultilevel"/>
    <w:tmpl w:val="12C69F48"/>
    <w:lvl w:ilvl="0" w:tplc="2D5EF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3E3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AA2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587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26A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6E1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76F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62B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44E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0991C3C"/>
    <w:multiLevelType w:val="hybridMultilevel"/>
    <w:tmpl w:val="BBDC5D2C"/>
    <w:lvl w:ilvl="0" w:tplc="DE562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783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08B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7C4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DE3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880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2C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94A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2B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36863A9"/>
    <w:multiLevelType w:val="hybridMultilevel"/>
    <w:tmpl w:val="0F76A2D8"/>
    <w:lvl w:ilvl="0" w:tplc="A788A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28B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D43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18F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1A2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14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C4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CC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FAC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FC0335C"/>
    <w:multiLevelType w:val="hybridMultilevel"/>
    <w:tmpl w:val="F71ED6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EE"/>
    <w:rsid w:val="000408E4"/>
    <w:rsid w:val="00137599"/>
    <w:rsid w:val="00230D3D"/>
    <w:rsid w:val="00232C9C"/>
    <w:rsid w:val="00280A15"/>
    <w:rsid w:val="0029086F"/>
    <w:rsid w:val="00291479"/>
    <w:rsid w:val="003502BF"/>
    <w:rsid w:val="003618A1"/>
    <w:rsid w:val="003D56ED"/>
    <w:rsid w:val="003E7182"/>
    <w:rsid w:val="00495E12"/>
    <w:rsid w:val="004E64A6"/>
    <w:rsid w:val="005025F2"/>
    <w:rsid w:val="005069EB"/>
    <w:rsid w:val="00552928"/>
    <w:rsid w:val="005800B3"/>
    <w:rsid w:val="00587A37"/>
    <w:rsid w:val="005A0966"/>
    <w:rsid w:val="006A5A5F"/>
    <w:rsid w:val="006B39B3"/>
    <w:rsid w:val="00731481"/>
    <w:rsid w:val="007645D5"/>
    <w:rsid w:val="007A4C51"/>
    <w:rsid w:val="008216C0"/>
    <w:rsid w:val="0083410C"/>
    <w:rsid w:val="00855012"/>
    <w:rsid w:val="00891683"/>
    <w:rsid w:val="009D22E3"/>
    <w:rsid w:val="00A7666E"/>
    <w:rsid w:val="00B33AED"/>
    <w:rsid w:val="00BB58A0"/>
    <w:rsid w:val="00BC0EDC"/>
    <w:rsid w:val="00BF52E2"/>
    <w:rsid w:val="00CF27EE"/>
    <w:rsid w:val="00E13F47"/>
    <w:rsid w:val="00E27FCD"/>
    <w:rsid w:val="00EF5F7C"/>
    <w:rsid w:val="00F8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51679-8CE9-4B31-8A0A-512D5065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CF27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table" w:styleId="TableGrid">
    <w:name w:val="Table Grid"/>
    <w:basedOn w:val="TableNormal"/>
    <w:uiPriority w:val="39"/>
    <w:rsid w:val="00CF2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2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18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3803">
          <w:marLeft w:val="67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1400">
          <w:marLeft w:val="67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8322">
          <w:marLeft w:val="67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137">
          <w:marLeft w:val="67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1060">
          <w:marLeft w:val="67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1660">
          <w:marLeft w:val="67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6354">
          <w:marLeft w:val="67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tk.ee" TargetMode="External"/><Relationship Id="rId5" Type="http://schemas.openxmlformats.org/officeDocument/2006/relationships/hyperlink" Target="mailto:info@rt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5767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Janika Terve</dc:creator>
  <cp:keywords/>
  <dc:description/>
  <cp:lastModifiedBy>Katrin Romanenkov</cp:lastModifiedBy>
  <cp:revision>2</cp:revision>
  <cp:lastPrinted>2018-03-27T14:20:00Z</cp:lastPrinted>
  <dcterms:created xsi:type="dcterms:W3CDTF">2020-12-12T10:40:00Z</dcterms:created>
  <dcterms:modified xsi:type="dcterms:W3CDTF">2020-12-12T10:40:00Z</dcterms:modified>
</cp:coreProperties>
</file>