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995AF" w14:textId="77777777" w:rsidR="00744369" w:rsidRPr="00151EB8" w:rsidRDefault="00D77DBE" w:rsidP="00744369">
      <w:pPr>
        <w:rPr>
          <w:rFonts w:ascii="Times New Roman" w:hAnsi="Times New Roman" w:cs="Times New Roman"/>
          <w:sz w:val="28"/>
          <w:szCs w:val="28"/>
        </w:rPr>
      </w:pPr>
      <w:r w:rsidRPr="00151EB8">
        <w:rPr>
          <w:rFonts w:ascii="Times New Roman" w:hAnsi="Times New Roman" w:cs="Times New Roman"/>
          <w:sz w:val="28"/>
          <w:szCs w:val="28"/>
        </w:rPr>
        <w:t>2014-2020.5.4.3.</w:t>
      </w:r>
      <w:r w:rsidR="00E307A7" w:rsidRPr="00151EB8">
        <w:rPr>
          <w:rFonts w:ascii="Times New Roman" w:hAnsi="Times New Roman" w:cs="Times New Roman"/>
          <w:sz w:val="28"/>
          <w:szCs w:val="28"/>
        </w:rPr>
        <w:t>PIIRKONDADE KONKURENTSIVÕIME TUGEVDAMISE INV</w:t>
      </w:r>
      <w:r w:rsidR="002574C6" w:rsidRPr="00151EB8">
        <w:rPr>
          <w:rFonts w:ascii="Times New Roman" w:hAnsi="Times New Roman" w:cs="Times New Roman"/>
          <w:sz w:val="28"/>
          <w:szCs w:val="28"/>
        </w:rPr>
        <w:t>ESTEERINGUD</w:t>
      </w:r>
      <w:r w:rsidR="00744369" w:rsidRPr="00151EB8">
        <w:rPr>
          <w:rFonts w:ascii="Times New Roman" w:hAnsi="Times New Roman" w:cs="Times New Roman"/>
          <w:sz w:val="28"/>
          <w:szCs w:val="28"/>
        </w:rPr>
        <w:t xml:space="preserve">  (Lisavoor alates 2021.a.) HINDAMISMETOODIKA </w:t>
      </w:r>
    </w:p>
    <w:p w14:paraId="0F50159F" w14:textId="77777777" w:rsidR="00744369" w:rsidRDefault="00744369" w:rsidP="00744369">
      <w:pPr>
        <w:rPr>
          <w:rFonts w:ascii="Times New Roman" w:hAnsi="Times New Roman" w:cs="Times New Roman"/>
          <w:sz w:val="24"/>
          <w:szCs w:val="24"/>
        </w:rPr>
      </w:pPr>
    </w:p>
    <w:p w14:paraId="0E5A2D56" w14:textId="77777777" w:rsidR="003D7A30" w:rsidRPr="0088709C" w:rsidRDefault="003D7A30" w:rsidP="00744369">
      <w:pPr>
        <w:rPr>
          <w:rFonts w:ascii="Times New Roman" w:hAnsi="Times New Roman" w:cs="Times New Roman"/>
          <w:sz w:val="24"/>
          <w:szCs w:val="24"/>
        </w:rPr>
      </w:pPr>
      <w:r>
        <w:rPr>
          <w:rFonts w:ascii="Times New Roman" w:hAnsi="Times New Roman" w:cs="Times New Roman"/>
          <w:b/>
          <w:sz w:val="24"/>
          <w:szCs w:val="24"/>
        </w:rPr>
        <w:t>I</w:t>
      </w:r>
      <w:r w:rsidRPr="00FE5EB9">
        <w:rPr>
          <w:rFonts w:ascii="Times New Roman" w:hAnsi="Times New Roman" w:cs="Times New Roman"/>
          <w:b/>
          <w:sz w:val="24"/>
          <w:szCs w:val="24"/>
        </w:rPr>
        <w:t>nkubatsiooni- ja toote</w:t>
      </w:r>
      <w:r>
        <w:rPr>
          <w:rFonts w:ascii="Times New Roman" w:hAnsi="Times New Roman" w:cs="Times New Roman"/>
          <w:b/>
          <w:sz w:val="24"/>
          <w:szCs w:val="24"/>
        </w:rPr>
        <w:t>arendusvõimaluste väljaarendamin</w:t>
      </w:r>
      <w:r w:rsidRPr="00FE5EB9">
        <w:rPr>
          <w:rFonts w:ascii="Times New Roman" w:hAnsi="Times New Roman" w:cs="Times New Roman"/>
          <w:b/>
          <w:sz w:val="24"/>
          <w:szCs w:val="24"/>
        </w:rPr>
        <w:t>e</w:t>
      </w:r>
    </w:p>
    <w:p w14:paraId="3489F50A" w14:textId="77777777" w:rsidR="00744369" w:rsidRPr="0088709C" w:rsidRDefault="00744369" w:rsidP="00151EB8">
      <w:pPr>
        <w:jc w:val="both"/>
        <w:rPr>
          <w:rFonts w:ascii="Times New Roman" w:hAnsi="Times New Roman" w:cs="Times New Roman"/>
          <w:sz w:val="24"/>
          <w:szCs w:val="24"/>
        </w:rPr>
      </w:pPr>
    </w:p>
    <w:p w14:paraId="2B8A4E56" w14:textId="77777777" w:rsidR="00D77DBE" w:rsidRPr="0088709C" w:rsidRDefault="00D77DBE" w:rsidP="00151EB8">
      <w:pPr>
        <w:jc w:val="both"/>
        <w:rPr>
          <w:rFonts w:ascii="Times New Roman" w:hAnsi="Times New Roman" w:cs="Times New Roman"/>
          <w:b/>
          <w:sz w:val="24"/>
          <w:szCs w:val="24"/>
        </w:rPr>
      </w:pPr>
      <w:r w:rsidRPr="0088709C">
        <w:rPr>
          <w:rFonts w:ascii="Times New Roman" w:hAnsi="Times New Roman" w:cs="Times New Roman"/>
          <w:b/>
          <w:sz w:val="24"/>
          <w:szCs w:val="24"/>
        </w:rPr>
        <w:t xml:space="preserve">1. Taotluste hindamine </w:t>
      </w:r>
    </w:p>
    <w:p w14:paraId="73EBFA94" w14:textId="77777777" w:rsidR="00D77DBE" w:rsidRPr="0088709C" w:rsidRDefault="00D77DBE" w:rsidP="00151EB8">
      <w:pPr>
        <w:jc w:val="both"/>
        <w:rPr>
          <w:rFonts w:ascii="Times New Roman" w:hAnsi="Times New Roman" w:cs="Times New Roman"/>
          <w:sz w:val="24"/>
          <w:szCs w:val="24"/>
        </w:rPr>
      </w:pPr>
      <w:r w:rsidRPr="0088709C">
        <w:rPr>
          <w:rFonts w:ascii="Times New Roman" w:hAnsi="Times New Roman" w:cs="Times New Roman"/>
          <w:sz w:val="24"/>
          <w:szCs w:val="24"/>
        </w:rPr>
        <w:t xml:space="preserve">1.1.Nõuetele vastavaks tunnistatud taotlusi hindab rakendusüksuse poolt moodustatud hindamiskomisjon (edaspidi komisjon). Komisjoni liikmed peavad olema erapooletud ja sõltumatud hinnatavatest projektidest, taotlejatest ja partneritest. </w:t>
      </w:r>
    </w:p>
    <w:p w14:paraId="3EF8E897" w14:textId="22B7135B" w:rsidR="00E307A7" w:rsidRPr="0088709C" w:rsidRDefault="00D77DBE" w:rsidP="00151EB8">
      <w:pPr>
        <w:jc w:val="both"/>
        <w:rPr>
          <w:rFonts w:ascii="Times New Roman" w:hAnsi="Times New Roman" w:cs="Times New Roman"/>
          <w:sz w:val="24"/>
          <w:szCs w:val="24"/>
        </w:rPr>
      </w:pPr>
      <w:r w:rsidRPr="0088709C">
        <w:rPr>
          <w:rFonts w:ascii="Times New Roman" w:hAnsi="Times New Roman" w:cs="Times New Roman"/>
          <w:sz w:val="24"/>
          <w:szCs w:val="24"/>
        </w:rPr>
        <w:t>1.2.Komisjon hindab nõuetel</w:t>
      </w:r>
      <w:r w:rsidR="0023154F" w:rsidRPr="0088709C">
        <w:rPr>
          <w:rFonts w:ascii="Times New Roman" w:hAnsi="Times New Roman" w:cs="Times New Roman"/>
          <w:sz w:val="24"/>
          <w:szCs w:val="24"/>
        </w:rPr>
        <w:t>e vastavaks tunnistatud taotlus</w:t>
      </w:r>
      <w:r w:rsidR="007153E5">
        <w:rPr>
          <w:rFonts w:ascii="Times New Roman" w:hAnsi="Times New Roman" w:cs="Times New Roman"/>
          <w:sz w:val="24"/>
          <w:szCs w:val="24"/>
        </w:rPr>
        <w:t>i</w:t>
      </w:r>
      <w:r w:rsidR="00E307A7" w:rsidRPr="0088709C">
        <w:rPr>
          <w:rFonts w:ascii="Times New Roman" w:hAnsi="Times New Roman" w:cs="Times New Roman"/>
          <w:sz w:val="24"/>
          <w:szCs w:val="24"/>
        </w:rPr>
        <w:t xml:space="preserve"> </w:t>
      </w:r>
      <w:r w:rsidR="0023154F" w:rsidRPr="0088709C">
        <w:rPr>
          <w:rFonts w:ascii="Times New Roman" w:hAnsi="Times New Roman" w:cs="Times New Roman"/>
          <w:sz w:val="24"/>
          <w:szCs w:val="24"/>
        </w:rPr>
        <w:t>järgmiste hindamiskriteeriumite alusel</w:t>
      </w:r>
      <w:r w:rsidR="00E307A7" w:rsidRPr="0088709C">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66"/>
        <w:gridCol w:w="1696"/>
      </w:tblGrid>
      <w:tr w:rsidR="0023154F" w:rsidRPr="0088709C" w14:paraId="1BB0A639" w14:textId="77777777" w:rsidTr="00B311A0">
        <w:tc>
          <w:tcPr>
            <w:tcW w:w="7366" w:type="dxa"/>
            <w:shd w:val="clear" w:color="auto" w:fill="D9D9D9" w:themeFill="background1" w:themeFillShade="D9"/>
          </w:tcPr>
          <w:p w14:paraId="6DFFC730"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Hindamiskriteerium</w:t>
            </w:r>
          </w:p>
        </w:tc>
        <w:tc>
          <w:tcPr>
            <w:tcW w:w="1696" w:type="dxa"/>
            <w:shd w:val="clear" w:color="auto" w:fill="D9D9D9" w:themeFill="background1" w:themeFillShade="D9"/>
          </w:tcPr>
          <w:p w14:paraId="08897094"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Osakaal koondhindest</w:t>
            </w:r>
          </w:p>
        </w:tc>
      </w:tr>
      <w:tr w:rsidR="0023154F" w:rsidRPr="0088709C" w14:paraId="0BAA3A97" w14:textId="77777777" w:rsidTr="0023154F">
        <w:tc>
          <w:tcPr>
            <w:tcW w:w="7366" w:type="dxa"/>
          </w:tcPr>
          <w:p w14:paraId="62E5A4FB"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P</w:t>
            </w:r>
            <w:r w:rsidRPr="0088709C">
              <w:rPr>
                <w:rFonts w:ascii="Times New Roman" w:hAnsi="Times New Roman" w:cs="Times New Roman"/>
                <w:color w:val="202020"/>
                <w:sz w:val="24"/>
                <w:szCs w:val="24"/>
                <w:shd w:val="clear" w:color="auto" w:fill="FFFFFF"/>
              </w:rPr>
              <w:t>rojekti põhjendatus ja mõju meetme eesmärkide saavutamisele</w:t>
            </w:r>
          </w:p>
        </w:tc>
        <w:tc>
          <w:tcPr>
            <w:tcW w:w="1696" w:type="dxa"/>
          </w:tcPr>
          <w:p w14:paraId="1EF72DF1"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35%</w:t>
            </w:r>
          </w:p>
        </w:tc>
      </w:tr>
      <w:tr w:rsidR="0023154F" w:rsidRPr="0088709C" w14:paraId="51FBC28C" w14:textId="77777777" w:rsidTr="0023154F">
        <w:tc>
          <w:tcPr>
            <w:tcW w:w="7366" w:type="dxa"/>
          </w:tcPr>
          <w:p w14:paraId="1C9663A3"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jätkusuutlikkus</w:t>
            </w:r>
          </w:p>
        </w:tc>
        <w:tc>
          <w:tcPr>
            <w:tcW w:w="1696" w:type="dxa"/>
          </w:tcPr>
          <w:p w14:paraId="50792135"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25%</w:t>
            </w:r>
          </w:p>
        </w:tc>
      </w:tr>
      <w:tr w:rsidR="0023154F" w:rsidRPr="0088709C" w14:paraId="3C23B511" w14:textId="77777777" w:rsidTr="0023154F">
        <w:tc>
          <w:tcPr>
            <w:tcW w:w="7366" w:type="dxa"/>
          </w:tcPr>
          <w:p w14:paraId="42635BF6"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eelarve põhjendatus, kvaliteet ja kulutõhusus</w:t>
            </w:r>
          </w:p>
        </w:tc>
        <w:tc>
          <w:tcPr>
            <w:tcW w:w="1696" w:type="dxa"/>
          </w:tcPr>
          <w:p w14:paraId="78CBC3CE"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25%</w:t>
            </w:r>
          </w:p>
        </w:tc>
      </w:tr>
      <w:tr w:rsidR="0023154F" w:rsidRPr="0088709C" w14:paraId="1D025AF1" w14:textId="77777777" w:rsidTr="0023154F">
        <w:tc>
          <w:tcPr>
            <w:tcW w:w="7366" w:type="dxa"/>
          </w:tcPr>
          <w:p w14:paraId="40E61123"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color w:val="202020"/>
                <w:sz w:val="24"/>
                <w:szCs w:val="24"/>
                <w:shd w:val="clear" w:color="auto" w:fill="FFFFFF"/>
              </w:rPr>
              <w:t>projekti teostatavus ja kindlustatus ressurssidega</w:t>
            </w:r>
          </w:p>
        </w:tc>
        <w:tc>
          <w:tcPr>
            <w:tcW w:w="1696" w:type="dxa"/>
          </w:tcPr>
          <w:p w14:paraId="552C3BE3" w14:textId="77777777" w:rsidR="0023154F" w:rsidRPr="0088709C" w:rsidRDefault="0023154F" w:rsidP="00151EB8">
            <w:pPr>
              <w:jc w:val="both"/>
              <w:rPr>
                <w:rFonts w:ascii="Times New Roman" w:hAnsi="Times New Roman" w:cs="Times New Roman"/>
                <w:sz w:val="24"/>
                <w:szCs w:val="24"/>
              </w:rPr>
            </w:pPr>
            <w:r w:rsidRPr="0088709C">
              <w:rPr>
                <w:rFonts w:ascii="Times New Roman" w:hAnsi="Times New Roman" w:cs="Times New Roman"/>
                <w:sz w:val="24"/>
                <w:szCs w:val="24"/>
              </w:rPr>
              <w:t>15%</w:t>
            </w:r>
          </w:p>
        </w:tc>
      </w:tr>
    </w:tbl>
    <w:p w14:paraId="7E67A378" w14:textId="77777777" w:rsidR="00151EB8" w:rsidRDefault="00151EB8" w:rsidP="00151EB8">
      <w:pPr>
        <w:spacing w:after="0"/>
        <w:jc w:val="both"/>
        <w:rPr>
          <w:rFonts w:ascii="Times New Roman" w:hAnsi="Times New Roman" w:cs="Times New Roman"/>
          <w:sz w:val="24"/>
          <w:szCs w:val="24"/>
        </w:rPr>
      </w:pPr>
    </w:p>
    <w:p w14:paraId="68F71D37" w14:textId="685EDD0E" w:rsidR="002574C6" w:rsidRPr="0088709C" w:rsidRDefault="00E307A7" w:rsidP="00151EB8">
      <w:pPr>
        <w:jc w:val="both"/>
        <w:rPr>
          <w:rFonts w:ascii="Times New Roman" w:hAnsi="Times New Roman" w:cs="Times New Roman"/>
          <w:sz w:val="24"/>
          <w:szCs w:val="24"/>
        </w:rPr>
      </w:pPr>
      <w:r w:rsidRPr="0088709C">
        <w:rPr>
          <w:rFonts w:ascii="Times New Roman" w:hAnsi="Times New Roman" w:cs="Times New Roman"/>
          <w:sz w:val="24"/>
          <w:szCs w:val="24"/>
        </w:rPr>
        <w:t>Hindamiskriteeriumid on kirjeldatud tulenevalt projekti valdkon</w:t>
      </w:r>
      <w:r w:rsidR="007153E5">
        <w:rPr>
          <w:rFonts w:ascii="Times New Roman" w:hAnsi="Times New Roman" w:cs="Times New Roman"/>
          <w:sz w:val="24"/>
          <w:szCs w:val="24"/>
        </w:rPr>
        <w:t>nast (turismivaldkond</w:t>
      </w:r>
      <w:r w:rsidRPr="0088709C">
        <w:rPr>
          <w:rFonts w:ascii="Times New Roman" w:hAnsi="Times New Roman" w:cs="Times New Roman"/>
          <w:sz w:val="24"/>
          <w:szCs w:val="24"/>
        </w:rPr>
        <w:t>, tööstus- ja ettevõtlusalad, inkubaatorid ja tootearenduskeskused, linnakeskuse avalik</w:t>
      </w:r>
      <w:r w:rsidR="007153E5">
        <w:rPr>
          <w:rFonts w:ascii="Times New Roman" w:hAnsi="Times New Roman" w:cs="Times New Roman"/>
          <w:sz w:val="24"/>
          <w:szCs w:val="24"/>
        </w:rPr>
        <w:t>u</w:t>
      </w:r>
      <w:r w:rsidRPr="0088709C">
        <w:rPr>
          <w:rFonts w:ascii="Times New Roman" w:hAnsi="Times New Roman" w:cs="Times New Roman"/>
          <w:sz w:val="24"/>
          <w:szCs w:val="24"/>
        </w:rPr>
        <w:t xml:space="preserve"> r</w:t>
      </w:r>
      <w:r w:rsidR="00B311A0" w:rsidRPr="0088709C">
        <w:rPr>
          <w:rFonts w:ascii="Times New Roman" w:hAnsi="Times New Roman" w:cs="Times New Roman"/>
          <w:sz w:val="24"/>
          <w:szCs w:val="24"/>
        </w:rPr>
        <w:t>uum</w:t>
      </w:r>
      <w:r w:rsidR="007153E5">
        <w:rPr>
          <w:rFonts w:ascii="Times New Roman" w:hAnsi="Times New Roman" w:cs="Times New Roman"/>
          <w:sz w:val="24"/>
          <w:szCs w:val="24"/>
        </w:rPr>
        <w:t>i kaasajastamine</w:t>
      </w:r>
      <w:r w:rsidR="00B311A0" w:rsidRPr="0088709C">
        <w:rPr>
          <w:rFonts w:ascii="Times New Roman" w:hAnsi="Times New Roman" w:cs="Times New Roman"/>
          <w:sz w:val="24"/>
          <w:szCs w:val="24"/>
        </w:rPr>
        <w:t>, kes</w:t>
      </w:r>
      <w:r w:rsidR="007153E5">
        <w:rPr>
          <w:rFonts w:ascii="Times New Roman" w:hAnsi="Times New Roman" w:cs="Times New Roman"/>
          <w:sz w:val="24"/>
          <w:szCs w:val="24"/>
        </w:rPr>
        <w:t xml:space="preserve">kuse ja </w:t>
      </w:r>
      <w:r w:rsidR="007700C3" w:rsidRPr="0088709C">
        <w:rPr>
          <w:rFonts w:ascii="Times New Roman" w:hAnsi="Times New Roman" w:cs="Times New Roman"/>
          <w:sz w:val="24"/>
          <w:szCs w:val="24"/>
        </w:rPr>
        <w:t>tagamaa ühendused) punktis 2</w:t>
      </w:r>
      <w:r w:rsidR="00B311A0" w:rsidRPr="0088709C">
        <w:rPr>
          <w:rFonts w:ascii="Times New Roman" w:hAnsi="Times New Roman" w:cs="Times New Roman"/>
          <w:sz w:val="24"/>
          <w:szCs w:val="24"/>
        </w:rPr>
        <w:t>.</w:t>
      </w:r>
    </w:p>
    <w:p w14:paraId="6B28B31A"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1.3. Taotlust hinnatakse skaalal 0–4. Hindamine toimub täisarvudes (0; 1; 2; 3; 4) ning hindamiskriteeriumite hinded ja hindamise koondhinne arvutatakse täpsusega kaks (2) kohta pärast koma kaalutud keskmisena.</w:t>
      </w:r>
    </w:p>
    <w:p w14:paraId="136BCA69"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Hindamisskaala:</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B311A0" w:rsidRPr="0088709C" w14:paraId="1FFF9F7A" w14:textId="77777777" w:rsidTr="00B311A0">
        <w:tc>
          <w:tcPr>
            <w:tcW w:w="1510" w:type="dxa"/>
            <w:shd w:val="clear" w:color="auto" w:fill="D9D9D9" w:themeFill="background1" w:themeFillShade="D9"/>
          </w:tcPr>
          <w:p w14:paraId="2940C93B"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Hinne</w:t>
            </w:r>
          </w:p>
        </w:tc>
        <w:tc>
          <w:tcPr>
            <w:tcW w:w="1510" w:type="dxa"/>
            <w:shd w:val="clear" w:color="auto" w:fill="D9D9D9" w:themeFill="background1" w:themeFillShade="D9"/>
          </w:tcPr>
          <w:p w14:paraId="3574A0EB"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0</w:t>
            </w:r>
          </w:p>
        </w:tc>
        <w:tc>
          <w:tcPr>
            <w:tcW w:w="1510" w:type="dxa"/>
            <w:shd w:val="clear" w:color="auto" w:fill="D9D9D9" w:themeFill="background1" w:themeFillShade="D9"/>
          </w:tcPr>
          <w:p w14:paraId="564E31F5"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1</w:t>
            </w:r>
          </w:p>
        </w:tc>
        <w:tc>
          <w:tcPr>
            <w:tcW w:w="1510" w:type="dxa"/>
            <w:shd w:val="clear" w:color="auto" w:fill="D9D9D9" w:themeFill="background1" w:themeFillShade="D9"/>
          </w:tcPr>
          <w:p w14:paraId="10DF7500"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2</w:t>
            </w:r>
          </w:p>
        </w:tc>
        <w:tc>
          <w:tcPr>
            <w:tcW w:w="1511" w:type="dxa"/>
            <w:shd w:val="clear" w:color="auto" w:fill="D9D9D9" w:themeFill="background1" w:themeFillShade="D9"/>
          </w:tcPr>
          <w:p w14:paraId="6798312D"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3</w:t>
            </w:r>
          </w:p>
        </w:tc>
        <w:tc>
          <w:tcPr>
            <w:tcW w:w="1511" w:type="dxa"/>
            <w:shd w:val="clear" w:color="auto" w:fill="D9D9D9" w:themeFill="background1" w:themeFillShade="D9"/>
          </w:tcPr>
          <w:p w14:paraId="54A383AE"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4</w:t>
            </w:r>
          </w:p>
        </w:tc>
      </w:tr>
      <w:tr w:rsidR="00B311A0" w:rsidRPr="0088709C" w14:paraId="3F8F3F54" w14:textId="77777777" w:rsidTr="00B311A0">
        <w:tc>
          <w:tcPr>
            <w:tcW w:w="1510" w:type="dxa"/>
          </w:tcPr>
          <w:p w14:paraId="2C95C910"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selgitus</w:t>
            </w:r>
          </w:p>
        </w:tc>
        <w:tc>
          <w:tcPr>
            <w:tcW w:w="1510" w:type="dxa"/>
          </w:tcPr>
          <w:p w14:paraId="094F3811"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puudulik</w:t>
            </w:r>
          </w:p>
        </w:tc>
        <w:tc>
          <w:tcPr>
            <w:tcW w:w="1510" w:type="dxa"/>
          </w:tcPr>
          <w:p w14:paraId="3F26A211"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nõrk</w:t>
            </w:r>
          </w:p>
        </w:tc>
        <w:tc>
          <w:tcPr>
            <w:tcW w:w="1510" w:type="dxa"/>
          </w:tcPr>
          <w:p w14:paraId="4824415D"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keskpärane</w:t>
            </w:r>
          </w:p>
        </w:tc>
        <w:tc>
          <w:tcPr>
            <w:tcW w:w="1511" w:type="dxa"/>
          </w:tcPr>
          <w:p w14:paraId="31EC68CC"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hea</w:t>
            </w:r>
          </w:p>
        </w:tc>
        <w:tc>
          <w:tcPr>
            <w:tcW w:w="1511" w:type="dxa"/>
          </w:tcPr>
          <w:p w14:paraId="557D360C"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Väga hea</w:t>
            </w:r>
          </w:p>
        </w:tc>
      </w:tr>
    </w:tbl>
    <w:p w14:paraId="757D529A" w14:textId="77777777" w:rsidR="00B311A0" w:rsidRPr="0088709C" w:rsidRDefault="00B311A0" w:rsidP="00151EB8">
      <w:pPr>
        <w:jc w:val="both"/>
        <w:rPr>
          <w:rFonts w:ascii="Times New Roman" w:hAnsi="Times New Roman" w:cs="Times New Roman"/>
          <w:sz w:val="24"/>
          <w:szCs w:val="24"/>
        </w:rPr>
      </w:pPr>
    </w:p>
    <w:p w14:paraId="63D6DD06" w14:textId="77777777"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1.4. Taotlusele hindamisel antud koondhinne moodustub nelja hindamiskriteeriumi alusel antud hinnete kaalutud keskmisest.</w:t>
      </w:r>
    </w:p>
    <w:p w14:paraId="44EA0B6B" w14:textId="1A53594D" w:rsidR="00B311A0" w:rsidRPr="0088709C" w:rsidRDefault="00B311A0" w:rsidP="00151EB8">
      <w:pPr>
        <w:jc w:val="both"/>
        <w:rPr>
          <w:rFonts w:ascii="Times New Roman" w:hAnsi="Times New Roman" w:cs="Times New Roman"/>
          <w:sz w:val="24"/>
          <w:szCs w:val="24"/>
        </w:rPr>
      </w:pPr>
      <w:r w:rsidRPr="0088709C">
        <w:rPr>
          <w:rFonts w:ascii="Times New Roman" w:hAnsi="Times New Roman" w:cs="Times New Roman"/>
          <w:sz w:val="24"/>
          <w:szCs w:val="24"/>
        </w:rPr>
        <w:t>1.5.</w:t>
      </w:r>
      <w:r w:rsidR="00E307A7" w:rsidRPr="0088709C">
        <w:rPr>
          <w:rFonts w:ascii="Times New Roman" w:hAnsi="Times New Roman" w:cs="Times New Roman"/>
          <w:sz w:val="24"/>
          <w:szCs w:val="24"/>
        </w:rPr>
        <w:t xml:space="preserve"> Hinnang taotlusele loetakse positiivseks, kui hindamisel antud koondhinne on vähemalt 2,75</w:t>
      </w:r>
      <w:r w:rsidRPr="0088709C">
        <w:rPr>
          <w:rFonts w:ascii="Times New Roman" w:hAnsi="Times New Roman" w:cs="Times New Roman"/>
          <w:sz w:val="24"/>
          <w:szCs w:val="24"/>
        </w:rPr>
        <w:t>.</w:t>
      </w:r>
      <w:r w:rsidR="00E307A7" w:rsidRPr="0088709C">
        <w:rPr>
          <w:rFonts w:ascii="Times New Roman" w:hAnsi="Times New Roman" w:cs="Times New Roman"/>
          <w:sz w:val="24"/>
          <w:szCs w:val="24"/>
        </w:rPr>
        <w:t xml:space="preserve"> </w:t>
      </w:r>
    </w:p>
    <w:p w14:paraId="61C4D259" w14:textId="77777777" w:rsidR="007700C3" w:rsidRPr="0088709C" w:rsidRDefault="00B311A0" w:rsidP="00151EB8">
      <w:pPr>
        <w:tabs>
          <w:tab w:val="left" w:pos="284"/>
        </w:tabs>
        <w:contextualSpacing/>
        <w:jc w:val="both"/>
        <w:rPr>
          <w:rFonts w:ascii="Times New Roman" w:hAnsi="Times New Roman" w:cs="Times New Roman"/>
          <w:sz w:val="24"/>
          <w:szCs w:val="24"/>
        </w:rPr>
      </w:pPr>
      <w:r w:rsidRPr="0088709C">
        <w:rPr>
          <w:rFonts w:ascii="Times New Roman" w:hAnsi="Times New Roman" w:cs="Times New Roman"/>
          <w:sz w:val="24"/>
          <w:szCs w:val="24"/>
        </w:rPr>
        <w:t xml:space="preserve">1.6. </w:t>
      </w:r>
      <w:r w:rsidR="007700C3" w:rsidRPr="0088709C">
        <w:rPr>
          <w:rFonts w:ascii="Times New Roman" w:hAnsi="Times New Roman" w:cs="Times New Roman"/>
          <w:sz w:val="24"/>
          <w:szCs w:val="24"/>
        </w:rPr>
        <w:t>P</w:t>
      </w:r>
      <w:r w:rsidR="007700C3" w:rsidRPr="0088709C">
        <w:rPr>
          <w:rFonts w:ascii="Times New Roman" w:hAnsi="Times New Roman" w:cs="Times New Roman"/>
          <w:color w:val="202020"/>
          <w:sz w:val="24"/>
          <w:szCs w:val="24"/>
          <w:shd w:val="clear" w:color="auto" w:fill="FFFFFF"/>
        </w:rPr>
        <w:t xml:space="preserve">ositiivse hinnangu saanud taotlused järjestatakse kaalutud keskmise alusel üle-eestilisse pingeritta. </w:t>
      </w:r>
      <w:r w:rsidR="007700C3" w:rsidRPr="0088709C">
        <w:rPr>
          <w:rFonts w:ascii="Times New Roman" w:hAnsi="Times New Roman" w:cs="Times New Roman"/>
          <w:sz w:val="24"/>
          <w:szCs w:val="24"/>
        </w:rPr>
        <w:t>Juhul, kui mitme projekti tulemuste koondsumma on võrdne, eelistatakse projekte, mis said hindamiskriteeriumis projekti põhjendatus ja mõju meetme eesmärkide saavutamisele kõrgema hinde.</w:t>
      </w:r>
    </w:p>
    <w:p w14:paraId="56C68F4D" w14:textId="77777777" w:rsidR="007700C3" w:rsidRPr="0088709C" w:rsidRDefault="007700C3" w:rsidP="00151EB8">
      <w:pPr>
        <w:tabs>
          <w:tab w:val="left" w:pos="284"/>
        </w:tabs>
        <w:contextualSpacing/>
        <w:jc w:val="both"/>
        <w:rPr>
          <w:rFonts w:ascii="Times New Roman" w:hAnsi="Times New Roman" w:cs="Times New Roman"/>
          <w:sz w:val="24"/>
          <w:szCs w:val="24"/>
        </w:rPr>
      </w:pPr>
    </w:p>
    <w:p w14:paraId="1A745730" w14:textId="77777777" w:rsidR="007700C3" w:rsidRPr="0088709C" w:rsidRDefault="007700C3" w:rsidP="00151EB8">
      <w:pPr>
        <w:tabs>
          <w:tab w:val="left" w:pos="284"/>
        </w:tabs>
        <w:contextualSpacing/>
        <w:jc w:val="both"/>
        <w:rPr>
          <w:rFonts w:ascii="Times New Roman" w:hAnsi="Times New Roman" w:cs="Times New Roman"/>
          <w:color w:val="202020"/>
          <w:sz w:val="24"/>
          <w:szCs w:val="24"/>
          <w:shd w:val="clear" w:color="auto" w:fill="FFFFFF"/>
        </w:rPr>
      </w:pPr>
      <w:r w:rsidRPr="0088709C">
        <w:rPr>
          <w:rFonts w:ascii="Times New Roman" w:hAnsi="Times New Roman" w:cs="Times New Roman"/>
          <w:sz w:val="24"/>
          <w:szCs w:val="24"/>
        </w:rPr>
        <w:t>1.7. Taotlus ei kuulu rahuldamisele juhul, kui selle hindamisel antud koondhinne jääb alla 2,75.</w:t>
      </w:r>
    </w:p>
    <w:p w14:paraId="7C419A96" w14:textId="77777777" w:rsidR="003D7A30" w:rsidRDefault="003D7A30" w:rsidP="00151EB8">
      <w:pPr>
        <w:jc w:val="both"/>
        <w:rPr>
          <w:rFonts w:ascii="Times New Roman" w:hAnsi="Times New Roman" w:cs="Times New Roman"/>
          <w:sz w:val="24"/>
          <w:szCs w:val="24"/>
        </w:rPr>
      </w:pPr>
    </w:p>
    <w:p w14:paraId="7BD457A3" w14:textId="77777777" w:rsidR="00F17F86" w:rsidRPr="00F17F86" w:rsidRDefault="007700C3" w:rsidP="00151EB8">
      <w:pPr>
        <w:jc w:val="both"/>
        <w:rPr>
          <w:rFonts w:ascii="Times New Roman" w:hAnsi="Times New Roman" w:cs="Times New Roman"/>
          <w:b/>
          <w:sz w:val="24"/>
          <w:szCs w:val="24"/>
        </w:rPr>
      </w:pPr>
      <w:r w:rsidRPr="0088709C">
        <w:rPr>
          <w:rFonts w:ascii="Times New Roman" w:hAnsi="Times New Roman" w:cs="Times New Roman"/>
          <w:sz w:val="24"/>
          <w:szCs w:val="24"/>
        </w:rPr>
        <w:lastRenderedPageBreak/>
        <w:t>2.</w:t>
      </w:r>
      <w:r w:rsidR="0088709C" w:rsidRPr="0088709C">
        <w:rPr>
          <w:rFonts w:ascii="Times New Roman" w:hAnsi="Times New Roman" w:cs="Times New Roman"/>
          <w:sz w:val="24"/>
          <w:szCs w:val="24"/>
        </w:rPr>
        <w:t xml:space="preserve"> </w:t>
      </w:r>
      <w:r w:rsidR="005F442D">
        <w:rPr>
          <w:rFonts w:ascii="Times New Roman" w:hAnsi="Times New Roman" w:cs="Times New Roman"/>
          <w:b/>
          <w:sz w:val="24"/>
          <w:szCs w:val="24"/>
        </w:rPr>
        <w:t>Hindamiskri</w:t>
      </w:r>
      <w:r w:rsidR="00F17F86" w:rsidRPr="00F17F86">
        <w:rPr>
          <w:rFonts w:ascii="Times New Roman" w:hAnsi="Times New Roman" w:cs="Times New Roman"/>
          <w:b/>
          <w:sz w:val="24"/>
          <w:szCs w:val="24"/>
        </w:rPr>
        <w:t xml:space="preserve">teeriumid </w:t>
      </w:r>
      <w:r w:rsidR="0088709C" w:rsidRPr="00F17F86">
        <w:rPr>
          <w:rFonts w:ascii="Times New Roman" w:hAnsi="Times New Roman" w:cs="Times New Roman"/>
          <w:b/>
          <w:sz w:val="24"/>
          <w:szCs w:val="24"/>
        </w:rPr>
        <w:t xml:space="preserve"> </w:t>
      </w:r>
      <w:r w:rsidR="00FE5EB9" w:rsidRPr="00FE5EB9">
        <w:rPr>
          <w:rFonts w:ascii="Times New Roman" w:hAnsi="Times New Roman" w:cs="Times New Roman"/>
          <w:b/>
          <w:sz w:val="24"/>
          <w:szCs w:val="24"/>
        </w:rPr>
        <w:t>inkubatsiooni- ja tootearendusvõimaluste väljaarendamise</w:t>
      </w:r>
      <w:r w:rsidR="00FE5EB9">
        <w:rPr>
          <w:rFonts w:ascii="Times New Roman" w:hAnsi="Times New Roman" w:cs="Times New Roman"/>
          <w:b/>
          <w:sz w:val="24"/>
          <w:szCs w:val="24"/>
        </w:rPr>
        <w:t xml:space="preserve"> </w:t>
      </w:r>
      <w:r w:rsidR="00F17F86">
        <w:rPr>
          <w:rFonts w:ascii="Times New Roman" w:hAnsi="Times New Roman" w:cs="Times New Roman"/>
          <w:b/>
          <w:sz w:val="24"/>
          <w:szCs w:val="24"/>
        </w:rPr>
        <w:t>projektitaotluste hindamiseks</w:t>
      </w:r>
    </w:p>
    <w:tbl>
      <w:tblPr>
        <w:tblStyle w:val="TableGrid"/>
        <w:tblW w:w="0" w:type="auto"/>
        <w:tblLook w:val="04A0" w:firstRow="1" w:lastRow="0" w:firstColumn="1" w:lastColumn="0" w:noHBand="0" w:noVBand="1"/>
      </w:tblPr>
      <w:tblGrid>
        <w:gridCol w:w="988"/>
        <w:gridCol w:w="8074"/>
      </w:tblGrid>
      <w:tr w:rsidR="0088709C" w:rsidRPr="00151EB8" w14:paraId="6B66D32B" w14:textId="77777777" w:rsidTr="00523558">
        <w:tc>
          <w:tcPr>
            <w:tcW w:w="9062" w:type="dxa"/>
            <w:gridSpan w:val="2"/>
            <w:shd w:val="clear" w:color="auto" w:fill="D9D9D9" w:themeFill="background1" w:themeFillShade="D9"/>
          </w:tcPr>
          <w:p w14:paraId="1C32FED4" w14:textId="77777777" w:rsidR="0088709C" w:rsidRPr="003D7A30" w:rsidRDefault="0088709C"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 xml:space="preserve">Hindamiskriteerium 1: Projekti põhjendatus ja mõju meetme eesmärkide saavutamisele. </w:t>
            </w:r>
          </w:p>
        </w:tc>
      </w:tr>
      <w:tr w:rsidR="0088709C" w:rsidRPr="00151EB8" w14:paraId="7E0F4DC6" w14:textId="77777777" w:rsidTr="00523558">
        <w:tc>
          <w:tcPr>
            <w:tcW w:w="9062" w:type="dxa"/>
            <w:gridSpan w:val="2"/>
            <w:shd w:val="clear" w:color="auto" w:fill="D9D9D9" w:themeFill="background1" w:themeFillShade="D9"/>
          </w:tcPr>
          <w:p w14:paraId="62C015C0" w14:textId="77777777" w:rsidR="0088709C" w:rsidRPr="003D7A30" w:rsidRDefault="0088709C"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Osakaal koondhindest 35%</w:t>
            </w:r>
          </w:p>
        </w:tc>
      </w:tr>
      <w:tr w:rsidR="0088709C" w:rsidRPr="00151EB8" w14:paraId="21F519FC" w14:textId="77777777" w:rsidTr="0088709C">
        <w:tc>
          <w:tcPr>
            <w:tcW w:w="9062" w:type="dxa"/>
            <w:gridSpan w:val="2"/>
          </w:tcPr>
          <w:p w14:paraId="2C279BC4" w14:textId="77777777" w:rsidR="00151EB8" w:rsidRDefault="00151EB8" w:rsidP="00151EB8">
            <w:pPr>
              <w:jc w:val="both"/>
              <w:rPr>
                <w:rFonts w:ascii="Times New Roman" w:hAnsi="Times New Roman" w:cs="Times New Roman"/>
                <w:b/>
                <w:sz w:val="24"/>
                <w:szCs w:val="24"/>
              </w:rPr>
            </w:pPr>
          </w:p>
          <w:p w14:paraId="068F8B58" w14:textId="77777777" w:rsidR="0037378E" w:rsidRDefault="0037378E" w:rsidP="00151EB8">
            <w:pPr>
              <w:jc w:val="both"/>
              <w:rPr>
                <w:rFonts w:ascii="Times New Roman" w:hAnsi="Times New Roman" w:cs="Times New Roman"/>
                <w:b/>
                <w:sz w:val="24"/>
                <w:szCs w:val="24"/>
              </w:rPr>
            </w:pPr>
            <w:r w:rsidRPr="00151EB8">
              <w:rPr>
                <w:rFonts w:ascii="Times New Roman" w:hAnsi="Times New Roman" w:cs="Times New Roman"/>
                <w:b/>
                <w:sz w:val="24"/>
                <w:szCs w:val="24"/>
              </w:rPr>
              <w:t xml:space="preserve">Hinnatakse: </w:t>
            </w:r>
          </w:p>
          <w:p w14:paraId="4BE159FA" w14:textId="342D271B" w:rsidR="0037378E" w:rsidRPr="00151EB8" w:rsidRDefault="00155384" w:rsidP="00151EB8">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w:t>
            </w:r>
            <w:r w:rsidR="0037378E" w:rsidRPr="00151EB8">
              <w:rPr>
                <w:rFonts w:ascii="Times New Roman" w:hAnsi="Times New Roman" w:cs="Times New Roman"/>
                <w:sz w:val="24"/>
                <w:szCs w:val="24"/>
              </w:rPr>
              <w:t>põhjendatust ja mõju atraktiivsema kohaliku ettevõtluskeskkonna loomisele</w:t>
            </w:r>
            <w:r w:rsidR="002D03C0">
              <w:rPr>
                <w:rFonts w:ascii="Times New Roman" w:hAnsi="Times New Roman" w:cs="Times New Roman"/>
                <w:sz w:val="24"/>
                <w:szCs w:val="24"/>
              </w:rPr>
              <w:t>, terviklahen</w:t>
            </w:r>
            <w:r>
              <w:rPr>
                <w:rFonts w:ascii="Times New Roman" w:hAnsi="Times New Roman" w:cs="Times New Roman"/>
                <w:sz w:val="24"/>
                <w:szCs w:val="24"/>
              </w:rPr>
              <w:t>d</w:t>
            </w:r>
            <w:r w:rsidR="002D03C0">
              <w:rPr>
                <w:rFonts w:ascii="Times New Roman" w:hAnsi="Times New Roman" w:cs="Times New Roman"/>
                <w:sz w:val="24"/>
                <w:szCs w:val="24"/>
              </w:rPr>
              <w:t>uste arendamisele</w:t>
            </w:r>
            <w:r w:rsidR="0037378E" w:rsidRPr="00151EB8">
              <w:rPr>
                <w:rFonts w:ascii="Times New Roman" w:hAnsi="Times New Roman" w:cs="Times New Roman"/>
                <w:sz w:val="24"/>
                <w:szCs w:val="24"/>
              </w:rPr>
              <w:t xml:space="preserve"> ning selle tulemusena loodavate uute töökohtade tekkele, sh kõrgema lisandväärtusega töökohtade tekkele piirkonnas. </w:t>
            </w:r>
          </w:p>
          <w:p w14:paraId="1F45AFB4" w14:textId="77777777" w:rsidR="0037378E" w:rsidRPr="00151EB8" w:rsidRDefault="0037378E" w:rsidP="00151EB8">
            <w:pPr>
              <w:jc w:val="both"/>
              <w:rPr>
                <w:rFonts w:ascii="Times New Roman" w:hAnsi="Times New Roman" w:cs="Times New Roman"/>
                <w:sz w:val="24"/>
                <w:szCs w:val="24"/>
              </w:rPr>
            </w:pPr>
          </w:p>
          <w:p w14:paraId="4F7244BC" w14:textId="1D928DC8" w:rsidR="0037378E" w:rsidRPr="00151EB8" w:rsidRDefault="0037378E" w:rsidP="00151EB8">
            <w:pPr>
              <w:jc w:val="both"/>
              <w:rPr>
                <w:rFonts w:ascii="Times New Roman" w:hAnsi="Times New Roman" w:cs="Times New Roman"/>
                <w:b/>
                <w:sz w:val="24"/>
                <w:szCs w:val="24"/>
              </w:rPr>
            </w:pPr>
            <w:r w:rsidRPr="00151EB8">
              <w:rPr>
                <w:rFonts w:ascii="Times New Roman" w:hAnsi="Times New Roman" w:cs="Times New Roman"/>
                <w:b/>
                <w:sz w:val="24"/>
                <w:szCs w:val="24"/>
              </w:rPr>
              <w:t xml:space="preserve">Hindamisel arvestatakse </w:t>
            </w:r>
            <w:r w:rsidR="00155384">
              <w:rPr>
                <w:rFonts w:ascii="Times New Roman" w:hAnsi="Times New Roman" w:cs="Times New Roman"/>
                <w:b/>
                <w:sz w:val="24"/>
                <w:szCs w:val="24"/>
              </w:rPr>
              <w:t xml:space="preserve">maakondliku tähtsusega või piirkondliku koostööprojekti puhul </w:t>
            </w:r>
            <w:r w:rsidRPr="00151EB8">
              <w:rPr>
                <w:rFonts w:ascii="Times New Roman" w:hAnsi="Times New Roman" w:cs="Times New Roman"/>
                <w:b/>
                <w:sz w:val="24"/>
                <w:szCs w:val="24"/>
              </w:rPr>
              <w:t xml:space="preserve">järgmiseid aspekte: </w:t>
            </w:r>
          </w:p>
          <w:p w14:paraId="6DC3D0E9" w14:textId="77777777" w:rsidR="00FE5EB9" w:rsidRPr="00151EB8" w:rsidRDefault="00FE5EB9" w:rsidP="00151EB8">
            <w:pPr>
              <w:jc w:val="both"/>
              <w:rPr>
                <w:rFonts w:ascii="Times New Roman" w:hAnsi="Times New Roman" w:cs="Times New Roman"/>
                <w:sz w:val="24"/>
                <w:szCs w:val="24"/>
              </w:rPr>
            </w:pPr>
          </w:p>
          <w:p w14:paraId="0C327B13" w14:textId="0234446D" w:rsidR="00FE5EB9" w:rsidRPr="00151EB8" w:rsidRDefault="007153E5" w:rsidP="00151EB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Projekti põhjendatust - kuivõrd</w:t>
            </w:r>
            <w:r w:rsidR="00FE5EB9" w:rsidRPr="00151EB8">
              <w:rPr>
                <w:rFonts w:ascii="Times New Roman" w:hAnsi="Times New Roman" w:cs="Times New Roman"/>
                <w:sz w:val="24"/>
                <w:szCs w:val="24"/>
              </w:rPr>
              <w:t xml:space="preserve"> on olemas </w:t>
            </w:r>
            <w:r w:rsidR="0047282B">
              <w:rPr>
                <w:rFonts w:ascii="Times New Roman" w:hAnsi="Times New Roman" w:cs="Times New Roman"/>
                <w:sz w:val="24"/>
                <w:szCs w:val="24"/>
              </w:rPr>
              <w:t>maakondliku ulatusega või piirkondlik</w:t>
            </w:r>
            <w:r w:rsidR="0047282B" w:rsidRPr="00783A59">
              <w:rPr>
                <w:rFonts w:ascii="Times New Roman" w:hAnsi="Times New Roman" w:cs="Times New Roman"/>
                <w:sz w:val="24"/>
                <w:szCs w:val="24"/>
              </w:rPr>
              <w:t xml:space="preserve"> </w:t>
            </w:r>
            <w:r w:rsidR="00FE5EB9" w:rsidRPr="00151EB8">
              <w:rPr>
                <w:rFonts w:ascii="Times New Roman" w:hAnsi="Times New Roman" w:cs="Times New Roman"/>
                <w:sz w:val="24"/>
                <w:szCs w:val="24"/>
              </w:rPr>
              <w:t xml:space="preserve">probleem, kitsaskoht või kasutamata arenguvõimalus. </w:t>
            </w:r>
          </w:p>
          <w:p w14:paraId="07A84845" w14:textId="56E1D4DB" w:rsidR="00FE5EB9" w:rsidRPr="00151EB8" w:rsidRDefault="00FE5EB9" w:rsidP="00151EB8">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 xml:space="preserve">Mil määral kavandatud tegevused võimaldavad saavutada planeeritud väljundid ja tulemused. </w:t>
            </w:r>
          </w:p>
          <w:p w14:paraId="5DE933AA" w14:textId="62C5813D" w:rsidR="00FE5EB9" w:rsidRPr="00151EB8" w:rsidRDefault="00FE5EB9" w:rsidP="00151EB8">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K</w:t>
            </w:r>
            <w:r w:rsidR="00155384">
              <w:rPr>
                <w:rFonts w:ascii="Times New Roman" w:hAnsi="Times New Roman" w:cs="Times New Roman"/>
                <w:sz w:val="24"/>
                <w:szCs w:val="24"/>
              </w:rPr>
              <w:t>uivõrd</w:t>
            </w:r>
            <w:r w:rsidRPr="00151EB8">
              <w:rPr>
                <w:rFonts w:ascii="Times New Roman" w:hAnsi="Times New Roman" w:cs="Times New Roman"/>
                <w:sz w:val="24"/>
                <w:szCs w:val="24"/>
              </w:rPr>
              <w:t xml:space="preserve"> projekti tulemusena likvideeritakse ettevõtluse infrastruktuuris olulised kitsaskohad, mis takistavad </w:t>
            </w:r>
            <w:proofErr w:type="spellStart"/>
            <w:r w:rsidRPr="00151EB8">
              <w:rPr>
                <w:rFonts w:ascii="Times New Roman" w:hAnsi="Times New Roman" w:cs="Times New Roman"/>
                <w:sz w:val="24"/>
                <w:szCs w:val="24"/>
              </w:rPr>
              <w:t>inkubantide</w:t>
            </w:r>
            <w:proofErr w:type="spellEnd"/>
            <w:r w:rsidRPr="00151EB8">
              <w:rPr>
                <w:rFonts w:ascii="Times New Roman" w:hAnsi="Times New Roman" w:cs="Times New Roman"/>
                <w:sz w:val="24"/>
                <w:szCs w:val="24"/>
              </w:rPr>
              <w:t xml:space="preserve"> tegevuse alustamist</w:t>
            </w:r>
            <w:r w:rsidR="00A7038E">
              <w:rPr>
                <w:rFonts w:ascii="Times New Roman" w:hAnsi="Times New Roman" w:cs="Times New Roman"/>
                <w:sz w:val="24"/>
                <w:szCs w:val="24"/>
              </w:rPr>
              <w:t xml:space="preserve"> (tootearenduskeskuste puhul) või piirkonna ettevõtete arengut</w:t>
            </w:r>
            <w:r w:rsidRPr="00151EB8">
              <w:rPr>
                <w:rFonts w:ascii="Times New Roman" w:hAnsi="Times New Roman" w:cs="Times New Roman"/>
                <w:sz w:val="24"/>
                <w:szCs w:val="24"/>
              </w:rPr>
              <w:t xml:space="preserve">. </w:t>
            </w:r>
          </w:p>
          <w:p w14:paraId="218D02DC" w14:textId="77777777" w:rsidR="007153E5" w:rsidRDefault="00FE5EB9" w:rsidP="00A06E80">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Mil määral on rajatav inkubaator või tootearenduskeskus üles ehitatud piirkonnapõhise ressursi või oskusteabe kasutamisele.</w:t>
            </w:r>
            <w:r w:rsidR="0002224B">
              <w:rPr>
                <w:rFonts w:ascii="Times New Roman" w:hAnsi="Times New Roman" w:cs="Times New Roman"/>
                <w:sz w:val="24"/>
                <w:szCs w:val="24"/>
              </w:rPr>
              <w:t>Mil määral lähtub inkubaatori või tootearenduskeskuse asukohavalik sihtgrupi paiknemist ja liikumisvõimalusi või oluliste partnerite asukohta maakonnas või suuremas piirkonnas</w:t>
            </w:r>
            <w:r w:rsidR="00A06E80">
              <w:rPr>
                <w:rFonts w:ascii="Times New Roman" w:hAnsi="Times New Roman" w:cs="Times New Roman"/>
                <w:sz w:val="24"/>
                <w:szCs w:val="24"/>
              </w:rPr>
              <w:t>.</w:t>
            </w:r>
          </w:p>
          <w:p w14:paraId="3941835B" w14:textId="39B38492" w:rsidR="00FE5EB9" w:rsidRPr="00FC6B1A" w:rsidRDefault="00FE5EB9" w:rsidP="00A06E80">
            <w:pPr>
              <w:pStyle w:val="ListParagraph"/>
              <w:numPr>
                <w:ilvl w:val="0"/>
                <w:numId w:val="1"/>
              </w:numPr>
              <w:jc w:val="both"/>
              <w:rPr>
                <w:rFonts w:ascii="Times New Roman" w:hAnsi="Times New Roman" w:cs="Times New Roman"/>
                <w:sz w:val="24"/>
                <w:szCs w:val="24"/>
              </w:rPr>
            </w:pPr>
            <w:r w:rsidRPr="00FC6B1A">
              <w:rPr>
                <w:rFonts w:ascii="Times New Roman" w:hAnsi="Times New Roman" w:cs="Times New Roman"/>
                <w:sz w:val="24"/>
                <w:szCs w:val="24"/>
              </w:rPr>
              <w:t>Mil määral põhinevad rajatava</w:t>
            </w:r>
            <w:r w:rsidR="007153E5">
              <w:rPr>
                <w:rFonts w:ascii="Times New Roman" w:hAnsi="Times New Roman" w:cs="Times New Roman"/>
                <w:sz w:val="24"/>
                <w:szCs w:val="24"/>
              </w:rPr>
              <w:t xml:space="preserve"> inkubaatori või</w:t>
            </w:r>
            <w:r w:rsidRPr="00FC6B1A">
              <w:rPr>
                <w:rFonts w:ascii="Times New Roman" w:hAnsi="Times New Roman" w:cs="Times New Roman"/>
                <w:sz w:val="24"/>
                <w:szCs w:val="24"/>
              </w:rPr>
              <w:t xml:space="preserve"> tootearenduskeskuse teenused ettevõtete vajadustele</w:t>
            </w:r>
            <w:r w:rsidR="001135F3" w:rsidRPr="00FC6B1A">
              <w:rPr>
                <w:rFonts w:ascii="Times New Roman" w:hAnsi="Times New Roman" w:cs="Times New Roman"/>
                <w:sz w:val="24"/>
                <w:szCs w:val="24"/>
              </w:rPr>
              <w:t xml:space="preserve"> ja kas projektiga luuakse ettevõtjate vajadustest lähtuvad teenuste terviklahendused</w:t>
            </w:r>
            <w:r w:rsidRPr="00FC6B1A">
              <w:rPr>
                <w:rFonts w:ascii="Times New Roman" w:hAnsi="Times New Roman" w:cs="Times New Roman"/>
                <w:sz w:val="24"/>
                <w:szCs w:val="24"/>
              </w:rPr>
              <w:t xml:space="preserve">. </w:t>
            </w:r>
          </w:p>
          <w:p w14:paraId="72D5BF48" w14:textId="2AFC447E" w:rsidR="00FE5EB9" w:rsidRDefault="00FE5EB9" w:rsidP="00151EB8">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K</w:t>
            </w:r>
            <w:r w:rsidR="00155384">
              <w:rPr>
                <w:rFonts w:ascii="Times New Roman" w:hAnsi="Times New Roman" w:cs="Times New Roman"/>
                <w:sz w:val="24"/>
                <w:szCs w:val="24"/>
              </w:rPr>
              <w:t>uivõrd</w:t>
            </w:r>
            <w:r w:rsidR="00057FE5">
              <w:rPr>
                <w:rFonts w:ascii="Times New Roman" w:hAnsi="Times New Roman" w:cs="Times New Roman"/>
                <w:sz w:val="24"/>
                <w:szCs w:val="24"/>
              </w:rPr>
              <w:t xml:space="preserve"> on </w:t>
            </w:r>
            <w:r w:rsidRPr="00151EB8">
              <w:rPr>
                <w:rFonts w:ascii="Times New Roman" w:hAnsi="Times New Roman" w:cs="Times New Roman"/>
                <w:sz w:val="24"/>
                <w:szCs w:val="24"/>
              </w:rPr>
              <w:t xml:space="preserve">loodava </w:t>
            </w:r>
            <w:r w:rsidR="00122AD6">
              <w:rPr>
                <w:rFonts w:ascii="Times New Roman" w:hAnsi="Times New Roman" w:cs="Times New Roman"/>
                <w:sz w:val="24"/>
                <w:szCs w:val="24"/>
              </w:rPr>
              <w:t xml:space="preserve">tootearenduskeskuse või </w:t>
            </w:r>
            <w:r w:rsidRPr="00151EB8">
              <w:rPr>
                <w:rFonts w:ascii="Times New Roman" w:hAnsi="Times New Roman" w:cs="Times New Roman"/>
                <w:sz w:val="24"/>
                <w:szCs w:val="24"/>
              </w:rPr>
              <w:t>inkubaatori teenuseid (nt koolitused, nõust</w:t>
            </w:r>
            <w:r w:rsidR="00057FE5">
              <w:rPr>
                <w:rFonts w:ascii="Times New Roman" w:hAnsi="Times New Roman" w:cs="Times New Roman"/>
                <w:sz w:val="24"/>
                <w:szCs w:val="24"/>
              </w:rPr>
              <w:t xml:space="preserve">amine, seadmete ühiskasutus) </w:t>
            </w:r>
            <w:r w:rsidRPr="00151EB8">
              <w:rPr>
                <w:rFonts w:ascii="Times New Roman" w:hAnsi="Times New Roman" w:cs="Times New Roman"/>
                <w:sz w:val="24"/>
                <w:szCs w:val="24"/>
              </w:rPr>
              <w:t xml:space="preserve">võimalik kasutada ka teistel piirkonna ettevõtetel. </w:t>
            </w:r>
          </w:p>
          <w:p w14:paraId="6AF1715D" w14:textId="17FE697C" w:rsidR="00BC475E" w:rsidRPr="00FC6B1A" w:rsidRDefault="00BC475E" w:rsidP="00FC6B1A">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Mil määral on projektiga kavandatud investeeringu maht vastavuses saavutatava mõjuga (arvestades võimalikku valdkonnast tulenevat investeeringumahukust ja asukoha eripära).</w:t>
            </w:r>
          </w:p>
          <w:p w14:paraId="6E76A250" w14:textId="570EF8E9" w:rsidR="00A06E80" w:rsidRPr="00FC6B1A" w:rsidRDefault="00BC475E" w:rsidP="00FC6B1A">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 xml:space="preserve">Mil määral loob projekti mõjul tegevust alustavate </w:t>
            </w:r>
            <w:proofErr w:type="spellStart"/>
            <w:r w:rsidRPr="00151EB8">
              <w:rPr>
                <w:rFonts w:ascii="Times New Roman" w:hAnsi="Times New Roman" w:cs="Times New Roman"/>
                <w:sz w:val="24"/>
                <w:szCs w:val="24"/>
              </w:rPr>
              <w:t>inkubantide</w:t>
            </w:r>
            <w:proofErr w:type="spellEnd"/>
            <w:r w:rsidRPr="00151EB8">
              <w:rPr>
                <w:rFonts w:ascii="Times New Roman" w:hAnsi="Times New Roman" w:cs="Times New Roman"/>
                <w:sz w:val="24"/>
                <w:szCs w:val="24"/>
              </w:rPr>
              <w:t xml:space="preserve"> tegevus eeldused ettevõtluse arenguks maakonnas (maakonda luuakse uut ja vajalikku kompetentsi</w:t>
            </w:r>
            <w:r>
              <w:rPr>
                <w:rFonts w:ascii="Times New Roman" w:hAnsi="Times New Roman" w:cs="Times New Roman"/>
                <w:sz w:val="24"/>
                <w:szCs w:val="24"/>
              </w:rPr>
              <w:t xml:space="preserve">, tugevneb olemasolev </w:t>
            </w:r>
            <w:proofErr w:type="spellStart"/>
            <w:r>
              <w:rPr>
                <w:rFonts w:ascii="Times New Roman" w:hAnsi="Times New Roman" w:cs="Times New Roman"/>
                <w:sz w:val="24"/>
                <w:szCs w:val="24"/>
              </w:rPr>
              <w:t>klaster</w:t>
            </w:r>
            <w:proofErr w:type="spellEnd"/>
            <w:r w:rsidRPr="00151EB8">
              <w:rPr>
                <w:rFonts w:ascii="Times New Roman" w:hAnsi="Times New Roman" w:cs="Times New Roman"/>
                <w:sz w:val="24"/>
                <w:szCs w:val="24"/>
              </w:rPr>
              <w:t xml:space="preserve"> või tekib juurde ettevõtteid seni täitmata valdkondades).</w:t>
            </w:r>
          </w:p>
          <w:p w14:paraId="30FB4024" w14:textId="617CBC34" w:rsidR="00BC475E" w:rsidRPr="00FC6B1A" w:rsidRDefault="00A06E80" w:rsidP="00A06E80">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K</w:t>
            </w:r>
            <w:r>
              <w:rPr>
                <w:rFonts w:ascii="Times New Roman" w:hAnsi="Times New Roman" w:cs="Times New Roman"/>
                <w:sz w:val="24"/>
                <w:szCs w:val="24"/>
              </w:rPr>
              <w:t>uivõrd</w:t>
            </w:r>
            <w:r w:rsidR="00057FE5">
              <w:rPr>
                <w:rFonts w:ascii="Times New Roman" w:hAnsi="Times New Roman" w:cs="Times New Roman"/>
                <w:sz w:val="24"/>
                <w:szCs w:val="24"/>
              </w:rPr>
              <w:t xml:space="preserve"> </w:t>
            </w:r>
            <w:r w:rsidRPr="00151EB8">
              <w:rPr>
                <w:rFonts w:ascii="Times New Roman" w:hAnsi="Times New Roman" w:cs="Times New Roman"/>
                <w:sz w:val="24"/>
                <w:szCs w:val="24"/>
              </w:rPr>
              <w:t xml:space="preserve">projekti tulemusena valmib infrastruktuur, mis võimaldab liituda potentsiaalsetel </w:t>
            </w:r>
            <w:proofErr w:type="spellStart"/>
            <w:r w:rsidRPr="00151EB8">
              <w:rPr>
                <w:rFonts w:ascii="Times New Roman" w:hAnsi="Times New Roman" w:cs="Times New Roman"/>
                <w:sz w:val="24"/>
                <w:szCs w:val="24"/>
              </w:rPr>
              <w:t>inkubantidel</w:t>
            </w:r>
            <w:proofErr w:type="spellEnd"/>
            <w:r w:rsidRPr="00151EB8">
              <w:rPr>
                <w:rFonts w:ascii="Times New Roman" w:hAnsi="Times New Roman" w:cs="Times New Roman"/>
                <w:sz w:val="24"/>
                <w:szCs w:val="24"/>
              </w:rPr>
              <w:t xml:space="preserve"> (ja kui suurel hulgal). </w:t>
            </w:r>
          </w:p>
          <w:p w14:paraId="558DD46C" w14:textId="0CB51413" w:rsidR="00BC475E" w:rsidRPr="00151EB8" w:rsidRDefault="00BC475E" w:rsidP="00BC475E">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Kui palju on inkubatsiooniteenuse kasutajate töökohti inkubaatoris projekti lõppedes.</w:t>
            </w:r>
          </w:p>
          <w:p w14:paraId="7013EAB9" w14:textId="19CFD6E6" w:rsidR="00BC475E" w:rsidRPr="00151EB8" w:rsidRDefault="00BC475E" w:rsidP="00BC475E">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t xml:space="preserve">Milline on inkubatsiooniteenuste kasutajate poolt loodavate töökohtade keskmine palk maakonna keskmisega võrreldes. </w:t>
            </w:r>
          </w:p>
          <w:p w14:paraId="0F64573A" w14:textId="33DFF0AF" w:rsidR="00A7038E" w:rsidRPr="00151EB8" w:rsidRDefault="00A7038E" w:rsidP="00A7038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Kuivõrd keskendub tootearenduskeskus valdkondadele, millel on piirkonnas laialdane kandepind ning potentsiaal keskmisest kõrgema palgaga töökohtade pakkumiseks.</w:t>
            </w:r>
          </w:p>
          <w:p w14:paraId="731559A7" w14:textId="31966486" w:rsidR="00FE5EB9" w:rsidRPr="00151EB8" w:rsidRDefault="00FE5EB9" w:rsidP="00151EB8">
            <w:pPr>
              <w:pStyle w:val="ListParagraph"/>
              <w:numPr>
                <w:ilvl w:val="0"/>
                <w:numId w:val="1"/>
              </w:numPr>
              <w:jc w:val="both"/>
              <w:rPr>
                <w:rFonts w:ascii="Times New Roman" w:hAnsi="Times New Roman" w:cs="Times New Roman"/>
                <w:sz w:val="24"/>
                <w:szCs w:val="24"/>
              </w:rPr>
            </w:pPr>
            <w:r w:rsidRPr="00151EB8">
              <w:rPr>
                <w:rFonts w:ascii="Times New Roman" w:hAnsi="Times New Roman" w:cs="Times New Roman"/>
                <w:sz w:val="24"/>
                <w:szCs w:val="24"/>
              </w:rPr>
              <w:lastRenderedPageBreak/>
              <w:t xml:space="preserve">Milline on tootearenduskeskuse teenuste ettevõtjatest kasutajate hulk projekti lõppedes. </w:t>
            </w:r>
          </w:p>
          <w:p w14:paraId="67D2EDAE" w14:textId="77777777" w:rsidR="0088709C" w:rsidRPr="00FC6B1A" w:rsidRDefault="0088709C" w:rsidP="00A06E80">
            <w:pPr>
              <w:jc w:val="both"/>
              <w:rPr>
                <w:rFonts w:ascii="Times New Roman" w:hAnsi="Times New Roman" w:cs="Times New Roman"/>
                <w:sz w:val="24"/>
                <w:szCs w:val="24"/>
              </w:rPr>
            </w:pPr>
          </w:p>
        </w:tc>
      </w:tr>
      <w:tr w:rsidR="000237AE" w:rsidRPr="00151EB8" w14:paraId="72B2D7CA" w14:textId="77777777" w:rsidTr="000237AE">
        <w:tc>
          <w:tcPr>
            <w:tcW w:w="988" w:type="dxa"/>
          </w:tcPr>
          <w:p w14:paraId="52F28FFE"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lastRenderedPageBreak/>
              <w:t>Hinne</w:t>
            </w:r>
          </w:p>
        </w:tc>
        <w:tc>
          <w:tcPr>
            <w:tcW w:w="8074" w:type="dxa"/>
          </w:tcPr>
          <w:p w14:paraId="3E8AECFF"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Taseme kirjeldus</w:t>
            </w:r>
          </w:p>
        </w:tc>
      </w:tr>
      <w:tr w:rsidR="000237AE" w:rsidRPr="00151EB8" w14:paraId="3E8D9F82" w14:textId="77777777" w:rsidTr="000237AE">
        <w:tc>
          <w:tcPr>
            <w:tcW w:w="988" w:type="dxa"/>
          </w:tcPr>
          <w:p w14:paraId="520D4277"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0</w:t>
            </w:r>
          </w:p>
        </w:tc>
        <w:tc>
          <w:tcPr>
            <w:tcW w:w="8074" w:type="dxa"/>
          </w:tcPr>
          <w:p w14:paraId="61BBA03A" w14:textId="21B17DAF"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Projekti eesmärgipü</w:t>
            </w:r>
            <w:r w:rsidR="00346C25">
              <w:rPr>
                <w:rFonts w:ascii="Times New Roman" w:hAnsi="Times New Roman" w:cs="Times New Roman"/>
                <w:sz w:val="24"/>
                <w:szCs w:val="24"/>
              </w:rPr>
              <w:t>stitus on nõrgalt põhjendatud -</w:t>
            </w:r>
            <w:r w:rsidR="00225CA9" w:rsidRPr="00FC6B1A">
              <w:rPr>
                <w:rFonts w:ascii="Times New Roman" w:hAnsi="Times New Roman" w:cs="Times New Roman"/>
                <w:sz w:val="24"/>
                <w:szCs w:val="24"/>
              </w:rPr>
              <w:t xml:space="preserve"> ei ole tuvastatav maakondliku ulatusega või piirkonda hõlmav probleem, kitsaskoht või kasutamata arenguvõimalus. </w:t>
            </w:r>
          </w:p>
          <w:p w14:paraId="75FEB878" w14:textId="59CB9BF4"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Projektis kavandatud tegevused ei vii planeeritud väljundite ja tulemuste saavutamiseni. </w:t>
            </w:r>
          </w:p>
          <w:p w14:paraId="47F7C6E9" w14:textId="77777777"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Projektis kavandatud tegevuste sidusus eesmärkidega ning mõjusus ei ole arusaadav. </w:t>
            </w:r>
          </w:p>
          <w:p w14:paraId="3B99F484" w14:textId="77777777" w:rsidR="00225CA9"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Piirkonnas puudub vajadus </w:t>
            </w:r>
            <w:r w:rsidR="005F48D9" w:rsidRPr="00FC6B1A">
              <w:rPr>
                <w:rFonts w:ascii="Times New Roman" w:hAnsi="Times New Roman" w:cs="Times New Roman"/>
                <w:sz w:val="24"/>
                <w:szCs w:val="24"/>
              </w:rPr>
              <w:t xml:space="preserve">tootearenduskeskuse või </w:t>
            </w:r>
            <w:r w:rsidRPr="00FC6B1A">
              <w:rPr>
                <w:rFonts w:ascii="Times New Roman" w:hAnsi="Times New Roman" w:cs="Times New Roman"/>
                <w:sz w:val="24"/>
                <w:szCs w:val="24"/>
              </w:rPr>
              <w:t xml:space="preserve">inkubatsiooni keskkonna ja/või teenuste järgi. </w:t>
            </w:r>
          </w:p>
          <w:p w14:paraId="36F195EE" w14:textId="77777777" w:rsidR="007153E5"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Piirkonnas asuvate ettevõtete arv, kes vajaksid otseselt rajatava tootearenduskeskuse </w:t>
            </w:r>
            <w:r w:rsidR="00A06E80" w:rsidRPr="00FC6B1A">
              <w:rPr>
                <w:rFonts w:ascii="Times New Roman" w:hAnsi="Times New Roman" w:cs="Times New Roman"/>
                <w:sz w:val="24"/>
                <w:szCs w:val="24"/>
              </w:rPr>
              <w:t xml:space="preserve">või inkubatsiooni </w:t>
            </w:r>
            <w:r w:rsidRPr="00FC6B1A">
              <w:rPr>
                <w:rFonts w:ascii="Times New Roman" w:hAnsi="Times New Roman" w:cs="Times New Roman"/>
                <w:sz w:val="24"/>
                <w:szCs w:val="24"/>
              </w:rPr>
              <w:t xml:space="preserve">teenuseid, on väga väike või teenuste vajaduse olemasolu on ebaselge. </w:t>
            </w:r>
          </w:p>
          <w:p w14:paraId="38AF2EB9" w14:textId="6D118A79"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Piirkonnas on olemas inkubatsioonivõimalused või muud ettevõtluse alustamist toetavad sobivad lahendused, kus on võimalik liituda piisaval arvul uutel huvilistel. </w:t>
            </w:r>
          </w:p>
          <w:p w14:paraId="33A0459A" w14:textId="77777777"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Rajatava tootearenduskeskusega sama valdkonna kompetents on ettevõtjatele piisavalt kättesaadav mõne muu organisatsiooni poolt. </w:t>
            </w:r>
          </w:p>
          <w:p w14:paraId="09F51F35" w14:textId="4BC97672" w:rsidR="0014246C"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Projekti mõjul loodavate uute töökohtade ja/või nende palkade prognoosid ei ole usaldusväärsed või põhjendatud.</w:t>
            </w:r>
          </w:p>
          <w:p w14:paraId="269AE8FB" w14:textId="6E21CE0A" w:rsidR="00151EB8" w:rsidRPr="00FC6B1A" w:rsidRDefault="0014246C"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Taotleja on projekti vajadust piirkonnas ning selle võimalikku mõju ülehinnanud. </w:t>
            </w:r>
            <w:r w:rsidR="00FE5EB9" w:rsidRPr="00FC6B1A">
              <w:rPr>
                <w:rFonts w:ascii="Times New Roman" w:hAnsi="Times New Roman" w:cs="Times New Roman"/>
                <w:sz w:val="24"/>
                <w:szCs w:val="24"/>
              </w:rPr>
              <w:t xml:space="preserve"> </w:t>
            </w:r>
          </w:p>
          <w:p w14:paraId="1FE8BC54" w14:textId="77777777" w:rsidR="000237AE"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Projektil on olulised </w:t>
            </w:r>
            <w:r w:rsidR="00151EB8" w:rsidRPr="00FC6B1A">
              <w:rPr>
                <w:rFonts w:ascii="Times New Roman" w:hAnsi="Times New Roman" w:cs="Times New Roman"/>
                <w:sz w:val="24"/>
                <w:szCs w:val="24"/>
              </w:rPr>
              <w:t xml:space="preserve">negatiivsed </w:t>
            </w:r>
            <w:proofErr w:type="spellStart"/>
            <w:r w:rsidR="00151EB8" w:rsidRPr="00FC6B1A">
              <w:rPr>
                <w:rFonts w:ascii="Times New Roman" w:hAnsi="Times New Roman" w:cs="Times New Roman"/>
                <w:sz w:val="24"/>
                <w:szCs w:val="24"/>
              </w:rPr>
              <w:t>kõrvalmõjud</w:t>
            </w:r>
            <w:proofErr w:type="spellEnd"/>
            <w:r w:rsidR="00151EB8" w:rsidRPr="00FC6B1A">
              <w:rPr>
                <w:rFonts w:ascii="Times New Roman" w:hAnsi="Times New Roman" w:cs="Times New Roman"/>
                <w:sz w:val="24"/>
                <w:szCs w:val="24"/>
              </w:rPr>
              <w:t>.</w:t>
            </w:r>
          </w:p>
        </w:tc>
      </w:tr>
      <w:tr w:rsidR="000237AE" w:rsidRPr="00151EB8" w14:paraId="57556350" w14:textId="77777777" w:rsidTr="000237AE">
        <w:tc>
          <w:tcPr>
            <w:tcW w:w="988" w:type="dxa"/>
          </w:tcPr>
          <w:p w14:paraId="5A2D1285"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1</w:t>
            </w:r>
          </w:p>
        </w:tc>
        <w:tc>
          <w:tcPr>
            <w:tcW w:w="8074" w:type="dxa"/>
          </w:tcPr>
          <w:p w14:paraId="0E2C5F6C" w14:textId="77777777" w:rsidR="000237AE" w:rsidRPr="00FC6B1A" w:rsidRDefault="000237AE" w:rsidP="00FC6B1A">
            <w:pPr>
              <w:jc w:val="both"/>
              <w:rPr>
                <w:rFonts w:ascii="Times New Roman" w:hAnsi="Times New Roman" w:cs="Times New Roman"/>
                <w:sz w:val="24"/>
                <w:szCs w:val="24"/>
              </w:rPr>
            </w:pPr>
            <w:r w:rsidRPr="00FC6B1A">
              <w:rPr>
                <w:rFonts w:ascii="Times New Roman" w:hAnsi="Times New Roman" w:cs="Times New Roman"/>
                <w:sz w:val="24"/>
                <w:szCs w:val="24"/>
              </w:rPr>
              <w:t>vahepealne tase</w:t>
            </w:r>
            <w:r w:rsidR="00151EB8" w:rsidRPr="00FC6B1A">
              <w:rPr>
                <w:rFonts w:ascii="Times New Roman" w:hAnsi="Times New Roman" w:cs="Times New Roman"/>
                <w:sz w:val="24"/>
                <w:szCs w:val="24"/>
              </w:rPr>
              <w:t xml:space="preserve"> </w:t>
            </w:r>
          </w:p>
        </w:tc>
      </w:tr>
      <w:tr w:rsidR="000237AE" w:rsidRPr="00151EB8" w14:paraId="75CBC6C2" w14:textId="77777777" w:rsidTr="000237AE">
        <w:tc>
          <w:tcPr>
            <w:tcW w:w="988" w:type="dxa"/>
          </w:tcPr>
          <w:p w14:paraId="01CFCCEE"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2</w:t>
            </w:r>
          </w:p>
        </w:tc>
        <w:tc>
          <w:tcPr>
            <w:tcW w:w="8074" w:type="dxa"/>
          </w:tcPr>
          <w:p w14:paraId="1BF58A46" w14:textId="0AD1D965"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eesmärgipüstitus on keskpäraselt põhjendatud - projekti mõju </w:t>
            </w:r>
            <w:r w:rsidR="0047282B" w:rsidRPr="00FC6B1A">
              <w:rPr>
                <w:rFonts w:ascii="Times New Roman" w:hAnsi="Times New Roman" w:cs="Times New Roman"/>
                <w:sz w:val="24"/>
                <w:szCs w:val="24"/>
              </w:rPr>
              <w:t xml:space="preserve">maakondliku ulatusega või piirkondliku </w:t>
            </w:r>
            <w:r w:rsidRPr="00FC6B1A">
              <w:rPr>
                <w:rFonts w:ascii="Times New Roman" w:hAnsi="Times New Roman" w:cs="Times New Roman"/>
                <w:sz w:val="24"/>
                <w:szCs w:val="24"/>
              </w:rPr>
              <w:t xml:space="preserve">probleemi, kitsaskoha või kasutamata arenguvõimaluse lahendamisele ei ole otsene. </w:t>
            </w:r>
          </w:p>
          <w:p w14:paraId="35C661AB" w14:textId="2F8DB356"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Projektis kavandatud tegevused võimaldavad saavutada planeeritud väljundid ja tulemused. </w:t>
            </w:r>
          </w:p>
          <w:p w14:paraId="169DBD7B" w14:textId="77777777"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Mõne projektis kavandatud tegevuse sidusus eesmärkidega ning mõjusus ei ole arusaadav. </w:t>
            </w:r>
          </w:p>
          <w:p w14:paraId="4DA5BD4A" w14:textId="437EC6B8" w:rsidR="00225CA9"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Projektiga likvideeritakse </w:t>
            </w:r>
            <w:r w:rsidR="00F14048" w:rsidRPr="00FC6B1A">
              <w:rPr>
                <w:rFonts w:ascii="Times New Roman" w:hAnsi="Times New Roman" w:cs="Times New Roman"/>
                <w:sz w:val="24"/>
                <w:szCs w:val="24"/>
              </w:rPr>
              <w:t xml:space="preserve">üldiselt </w:t>
            </w:r>
            <w:r w:rsidR="00B61AEA" w:rsidRPr="00FC6B1A">
              <w:rPr>
                <w:rFonts w:ascii="Times New Roman" w:hAnsi="Times New Roman" w:cs="Times New Roman"/>
                <w:sz w:val="24"/>
                <w:szCs w:val="24"/>
              </w:rPr>
              <w:t xml:space="preserve">piirkonna ettevõtete arengut, tootearenduskeskuse tegevuse või </w:t>
            </w:r>
            <w:proofErr w:type="spellStart"/>
            <w:r w:rsidRPr="00FC6B1A">
              <w:rPr>
                <w:rFonts w:ascii="Times New Roman" w:hAnsi="Times New Roman" w:cs="Times New Roman"/>
                <w:sz w:val="24"/>
                <w:szCs w:val="24"/>
              </w:rPr>
              <w:t>inkubantide</w:t>
            </w:r>
            <w:proofErr w:type="spellEnd"/>
            <w:r w:rsidRPr="00FC6B1A">
              <w:rPr>
                <w:rFonts w:ascii="Times New Roman" w:hAnsi="Times New Roman" w:cs="Times New Roman"/>
                <w:sz w:val="24"/>
                <w:szCs w:val="24"/>
              </w:rPr>
              <w:t xml:space="preserve"> tegevuse alustamist takistavad kitsaskohad. </w:t>
            </w:r>
          </w:p>
          <w:p w14:paraId="5134CE82" w14:textId="451BC65C" w:rsidR="00151EB8" w:rsidRPr="00FC6B1A" w:rsidRDefault="00FE5EB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Inkubaator või tootearenduskeskus on </w:t>
            </w:r>
            <w:r w:rsidR="007153E5">
              <w:rPr>
                <w:rFonts w:ascii="Times New Roman" w:hAnsi="Times New Roman" w:cs="Times New Roman"/>
                <w:sz w:val="24"/>
                <w:szCs w:val="24"/>
              </w:rPr>
              <w:t xml:space="preserve">osaliselt </w:t>
            </w:r>
            <w:r w:rsidRPr="00FC6B1A">
              <w:rPr>
                <w:rFonts w:ascii="Times New Roman" w:hAnsi="Times New Roman" w:cs="Times New Roman"/>
                <w:sz w:val="24"/>
                <w:szCs w:val="24"/>
              </w:rPr>
              <w:t xml:space="preserve">seotud piirkonnapõhise ressursi või oskusteabe kasutamisega. </w:t>
            </w:r>
          </w:p>
          <w:p w14:paraId="361CD8A3" w14:textId="595C7783" w:rsidR="00151EB8" w:rsidRPr="00FC6B1A" w:rsidRDefault="00793800" w:rsidP="00FC6B1A">
            <w:pPr>
              <w:pStyle w:val="ListParagraph"/>
              <w:numPr>
                <w:ilvl w:val="0"/>
                <w:numId w:val="18"/>
              </w:numPr>
              <w:jc w:val="both"/>
              <w:rPr>
                <w:rFonts w:ascii="Times New Roman" w:hAnsi="Times New Roman" w:cs="Times New Roman"/>
                <w:sz w:val="24"/>
                <w:szCs w:val="24"/>
              </w:rPr>
            </w:pPr>
            <w:r w:rsidRPr="00346C25">
              <w:rPr>
                <w:rFonts w:ascii="Times New Roman" w:hAnsi="Times New Roman" w:cs="Times New Roman"/>
              </w:rPr>
              <w:t>Projektis kavandatud i</w:t>
            </w:r>
            <w:r w:rsidRPr="00346C25">
              <w:rPr>
                <w:rFonts w:ascii="Times New Roman" w:hAnsi="Times New Roman" w:cs="Times New Roman"/>
                <w:sz w:val="24"/>
                <w:szCs w:val="24"/>
              </w:rPr>
              <w:t>nkubaatori</w:t>
            </w:r>
            <w:r w:rsidRPr="00FC6B1A">
              <w:rPr>
                <w:rFonts w:ascii="Times New Roman" w:hAnsi="Times New Roman" w:cs="Times New Roman"/>
                <w:sz w:val="24"/>
                <w:szCs w:val="24"/>
              </w:rPr>
              <w:t xml:space="preserve"> või tootearenduskeskuse asukohavalik lähtub mingil määral sihtgrupi paiknemisest ja liikumisvõimalustega arvestamisest või oluliste partnerite asukohast maakonnas või suuremas piirkonnas.</w:t>
            </w:r>
          </w:p>
          <w:p w14:paraId="038899F7" w14:textId="77777777" w:rsidR="00FC6B1A" w:rsidRPr="00FC6B1A" w:rsidRDefault="00225CA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tulemusena loodava tootearenduskeskuse teenuseid ja inkubaatori teadmust on võimalik kasutada ka teistel piirkonna ettevõtetel, kuid vajadus selle järgi ei ole otsene. </w:t>
            </w:r>
          </w:p>
          <w:p w14:paraId="35D99EFB" w14:textId="2A87398D" w:rsidR="00225CA9" w:rsidRPr="00FC6B1A" w:rsidRDefault="00122AD6"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Inkubaatori või  tootearenduskeskuse teenused ei ole üldiselt disainitud ettevõtete vajadustest lähtuvalt ja projektiga ei looda ettevõtjate vajadustest lähtuvad teenuste terviklahendused.</w:t>
            </w:r>
          </w:p>
          <w:p w14:paraId="082825BA" w14:textId="2A28E2FC" w:rsidR="00225CA9" w:rsidRPr="00FC6B1A" w:rsidRDefault="00225CA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lastRenderedPageBreak/>
              <w:t>Projekti maksumus võrreldes potentsiaalselt saavutatava mõjuga on teiste analoogsete projektidega võrreldes kallis.</w:t>
            </w:r>
          </w:p>
          <w:p w14:paraId="127C7630" w14:textId="4B61C557" w:rsidR="0002224B" w:rsidRPr="00FC6B1A" w:rsidRDefault="0004473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mõjul tegevust alustavate </w:t>
            </w:r>
            <w:proofErr w:type="spellStart"/>
            <w:r w:rsidRPr="00FC6B1A">
              <w:rPr>
                <w:rFonts w:ascii="Times New Roman" w:hAnsi="Times New Roman" w:cs="Times New Roman"/>
                <w:sz w:val="24"/>
                <w:szCs w:val="24"/>
              </w:rPr>
              <w:t>inkubantide</w:t>
            </w:r>
            <w:proofErr w:type="spellEnd"/>
            <w:r w:rsidRPr="00FC6B1A">
              <w:rPr>
                <w:rFonts w:ascii="Times New Roman" w:hAnsi="Times New Roman" w:cs="Times New Roman"/>
                <w:sz w:val="24"/>
                <w:szCs w:val="24"/>
              </w:rPr>
              <w:t xml:space="preserve"> tegevus loob teatud eeldusi eeldused ettevõtluse arenguks maakonnas (maakonda luuakse uut ja vajalikku kompetentsi, tugevneb olemasolev </w:t>
            </w:r>
            <w:proofErr w:type="spellStart"/>
            <w:r w:rsidRPr="00FC6B1A">
              <w:rPr>
                <w:rFonts w:ascii="Times New Roman" w:hAnsi="Times New Roman" w:cs="Times New Roman"/>
                <w:sz w:val="24"/>
                <w:szCs w:val="24"/>
              </w:rPr>
              <w:t>klaster</w:t>
            </w:r>
            <w:proofErr w:type="spellEnd"/>
            <w:r w:rsidRPr="00FC6B1A">
              <w:rPr>
                <w:rFonts w:ascii="Times New Roman" w:hAnsi="Times New Roman" w:cs="Times New Roman"/>
                <w:sz w:val="24"/>
                <w:szCs w:val="24"/>
              </w:rPr>
              <w:t xml:space="preserve"> või tekib juurde ettevõtteid seni täitmata valdkondades).</w:t>
            </w:r>
          </w:p>
          <w:p w14:paraId="00DC71E7" w14:textId="77777777" w:rsidR="00FC6B1A" w:rsidRPr="00FC6B1A" w:rsidRDefault="00225CA9" w:rsidP="00FC6B1A">
            <w:pPr>
              <w:pStyle w:val="ListParagraph"/>
              <w:numPr>
                <w:ilvl w:val="0"/>
                <w:numId w:val="18"/>
              </w:numPr>
              <w:jc w:val="both"/>
              <w:rPr>
                <w:rFonts w:ascii="Times New Roman" w:hAnsi="Times New Roman" w:cs="Times New Roman"/>
                <w:sz w:val="24"/>
                <w:szCs w:val="24"/>
              </w:rPr>
            </w:pPr>
            <w:r w:rsidRPr="00FC6B1A">
              <w:rPr>
                <w:rFonts w:ascii="Times New Roman" w:hAnsi="Times New Roman" w:cs="Times New Roman"/>
                <w:sz w:val="24"/>
                <w:szCs w:val="24"/>
              </w:rPr>
              <w:t xml:space="preserve">Rajatav infrastruktuur võimaldab liituda vähemalt 10 inkubatsiooniteenuse kasutajal. </w:t>
            </w:r>
          </w:p>
          <w:p w14:paraId="6FC2D372" w14:textId="240A4F7C" w:rsidR="00151EB8" w:rsidRPr="007153E5" w:rsidRDefault="006823D1" w:rsidP="00FC6B1A">
            <w:pPr>
              <w:pStyle w:val="ListParagraph"/>
              <w:numPr>
                <w:ilvl w:val="0"/>
                <w:numId w:val="18"/>
              </w:numPr>
              <w:jc w:val="both"/>
              <w:rPr>
                <w:rFonts w:ascii="Times New Roman" w:hAnsi="Times New Roman" w:cs="Times New Roman"/>
                <w:sz w:val="24"/>
                <w:szCs w:val="24"/>
              </w:rPr>
            </w:pPr>
            <w:r w:rsidRPr="007153E5">
              <w:rPr>
                <w:rFonts w:ascii="Times New Roman" w:hAnsi="Times New Roman" w:cs="Times New Roman"/>
                <w:sz w:val="24"/>
                <w:szCs w:val="24"/>
              </w:rPr>
              <w:t>3 aastat pärast projekti lõppu</w:t>
            </w:r>
            <w:r w:rsidR="00FE5EB9" w:rsidRPr="007153E5">
              <w:rPr>
                <w:rFonts w:ascii="Times New Roman" w:hAnsi="Times New Roman" w:cs="Times New Roman"/>
                <w:sz w:val="24"/>
                <w:szCs w:val="24"/>
              </w:rPr>
              <w:t xml:space="preserve"> on inkubaatoris inkubatsiooniteenuse kasutajate poolt loodud vähemalt 10 uut töökohta, millest vähemalt 5 töökoha keskmine palk on vähemalt maakonna keskmisega võrreldav. </w:t>
            </w:r>
          </w:p>
          <w:p w14:paraId="1EC5DF56" w14:textId="77777777" w:rsidR="00FC6B1A" w:rsidRPr="007153E5" w:rsidRDefault="00793800" w:rsidP="00FC6B1A">
            <w:pPr>
              <w:pStyle w:val="ListParagraph"/>
              <w:numPr>
                <w:ilvl w:val="0"/>
                <w:numId w:val="18"/>
              </w:numPr>
              <w:jc w:val="both"/>
              <w:rPr>
                <w:rFonts w:ascii="Times New Roman" w:hAnsi="Times New Roman" w:cs="Times New Roman"/>
                <w:sz w:val="24"/>
                <w:szCs w:val="24"/>
              </w:rPr>
            </w:pPr>
            <w:r w:rsidRPr="007153E5">
              <w:rPr>
                <w:rFonts w:ascii="Times New Roman" w:hAnsi="Times New Roman" w:cs="Times New Roman"/>
                <w:sz w:val="24"/>
                <w:szCs w:val="24"/>
              </w:rPr>
              <w:t>Projektis kavandatud tootearenduskeskus keskendub mingil määral valdkondadele, millel on piirkonnas laialdane kandepind ning potentsiaal keskmisest kõrgema palgaga tööko</w:t>
            </w:r>
            <w:r w:rsidR="00FC6B1A" w:rsidRPr="007153E5">
              <w:rPr>
                <w:rFonts w:ascii="Times New Roman" w:hAnsi="Times New Roman" w:cs="Times New Roman"/>
                <w:sz w:val="24"/>
                <w:szCs w:val="24"/>
              </w:rPr>
              <w:t xml:space="preserve">htade </w:t>
            </w:r>
            <w:r w:rsidRPr="007153E5">
              <w:rPr>
                <w:rFonts w:ascii="Times New Roman" w:hAnsi="Times New Roman" w:cs="Times New Roman"/>
                <w:sz w:val="24"/>
                <w:szCs w:val="24"/>
              </w:rPr>
              <w:t>pakkumiseks.</w:t>
            </w:r>
          </w:p>
          <w:p w14:paraId="6D4B1E06" w14:textId="618E644E" w:rsidR="000237AE" w:rsidRPr="00FC6B1A" w:rsidRDefault="00FE5EB9" w:rsidP="00FC6B1A">
            <w:pPr>
              <w:pStyle w:val="ListParagraph"/>
              <w:numPr>
                <w:ilvl w:val="0"/>
                <w:numId w:val="18"/>
              </w:numPr>
              <w:jc w:val="both"/>
              <w:rPr>
                <w:rFonts w:ascii="Times New Roman" w:hAnsi="Times New Roman" w:cs="Times New Roman"/>
                <w:sz w:val="24"/>
                <w:szCs w:val="24"/>
              </w:rPr>
            </w:pPr>
            <w:r w:rsidRPr="007153E5">
              <w:rPr>
                <w:rFonts w:ascii="Times New Roman" w:hAnsi="Times New Roman" w:cs="Times New Roman"/>
                <w:sz w:val="24"/>
                <w:szCs w:val="24"/>
              </w:rPr>
              <w:t xml:space="preserve">Tootearenduskeskuse teenuste ettevõtjatest kasutajate hulk </w:t>
            </w:r>
            <w:r w:rsidR="006823D1" w:rsidRPr="007153E5">
              <w:rPr>
                <w:rFonts w:ascii="Times New Roman" w:hAnsi="Times New Roman" w:cs="Times New Roman"/>
                <w:sz w:val="24"/>
                <w:szCs w:val="24"/>
              </w:rPr>
              <w:t>3 aastat pärast projekti lõppu</w:t>
            </w:r>
            <w:r w:rsidRPr="007153E5">
              <w:rPr>
                <w:rFonts w:ascii="Times New Roman" w:hAnsi="Times New Roman" w:cs="Times New Roman"/>
                <w:sz w:val="24"/>
                <w:szCs w:val="24"/>
              </w:rPr>
              <w:t xml:space="preserve"> on vähemalt 15.</w:t>
            </w:r>
            <w:r w:rsidRPr="00FC6B1A">
              <w:rPr>
                <w:rFonts w:ascii="Times New Roman" w:hAnsi="Times New Roman" w:cs="Times New Roman"/>
                <w:sz w:val="24"/>
                <w:szCs w:val="24"/>
              </w:rPr>
              <w:t xml:space="preserve"> </w:t>
            </w:r>
          </w:p>
        </w:tc>
      </w:tr>
      <w:tr w:rsidR="000237AE" w:rsidRPr="00151EB8" w14:paraId="70422A2D" w14:textId="77777777" w:rsidTr="000237AE">
        <w:tc>
          <w:tcPr>
            <w:tcW w:w="988" w:type="dxa"/>
          </w:tcPr>
          <w:p w14:paraId="259506FA"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lastRenderedPageBreak/>
              <w:t>3</w:t>
            </w:r>
          </w:p>
        </w:tc>
        <w:tc>
          <w:tcPr>
            <w:tcW w:w="8074" w:type="dxa"/>
          </w:tcPr>
          <w:p w14:paraId="61395A18"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Vahepealne tase</w:t>
            </w:r>
          </w:p>
        </w:tc>
      </w:tr>
      <w:tr w:rsidR="000237AE" w:rsidRPr="00151EB8" w14:paraId="3961AABB" w14:textId="77777777" w:rsidTr="000237AE">
        <w:tc>
          <w:tcPr>
            <w:tcW w:w="988" w:type="dxa"/>
          </w:tcPr>
          <w:p w14:paraId="3558E9EC" w14:textId="77777777" w:rsidR="000237AE" w:rsidRPr="00151EB8" w:rsidRDefault="000237AE" w:rsidP="00151EB8">
            <w:pPr>
              <w:jc w:val="both"/>
              <w:rPr>
                <w:rFonts w:ascii="Times New Roman" w:hAnsi="Times New Roman" w:cs="Times New Roman"/>
                <w:sz w:val="24"/>
                <w:szCs w:val="24"/>
              </w:rPr>
            </w:pPr>
            <w:r w:rsidRPr="00151EB8">
              <w:rPr>
                <w:rFonts w:ascii="Times New Roman" w:hAnsi="Times New Roman" w:cs="Times New Roman"/>
                <w:sz w:val="24"/>
                <w:szCs w:val="24"/>
              </w:rPr>
              <w:t>4</w:t>
            </w:r>
          </w:p>
        </w:tc>
        <w:tc>
          <w:tcPr>
            <w:tcW w:w="8074" w:type="dxa"/>
          </w:tcPr>
          <w:p w14:paraId="2F12DA07" w14:textId="23705568" w:rsidR="00151EB8" w:rsidRPr="00FC6B1A" w:rsidRDefault="008F5346"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Projekt on põhjendatud - on olemas</w:t>
            </w:r>
            <w:r w:rsidR="0047282B" w:rsidRPr="00FC6B1A">
              <w:rPr>
                <w:rFonts w:ascii="Times New Roman" w:hAnsi="Times New Roman" w:cs="Times New Roman"/>
                <w:sz w:val="24"/>
                <w:szCs w:val="24"/>
              </w:rPr>
              <w:t xml:space="preserve"> maakondliku ulatusega või piirkondlik</w:t>
            </w:r>
            <w:r w:rsidRPr="00FC6B1A">
              <w:rPr>
                <w:rFonts w:ascii="Times New Roman" w:hAnsi="Times New Roman" w:cs="Times New Roman"/>
                <w:sz w:val="24"/>
                <w:szCs w:val="24"/>
              </w:rPr>
              <w:t xml:space="preserve"> probleem, kitsaskoht või kasutamata arenguvõimalus. </w:t>
            </w:r>
          </w:p>
          <w:p w14:paraId="0143097A" w14:textId="278948D4" w:rsidR="00151EB8" w:rsidRPr="00FC6B1A" w:rsidRDefault="008F5346"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Projektis kavandatud tegevused võimaldavad saavutada planeeritud väljundid ja tulemused. </w:t>
            </w:r>
          </w:p>
          <w:p w14:paraId="26FDE419" w14:textId="58BBC2E2" w:rsidR="00F350E2" w:rsidRPr="00FC6B1A" w:rsidRDefault="008F5346"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Projektiga likvideeritakse</w:t>
            </w:r>
            <w:r w:rsidR="00F350E2" w:rsidRPr="00FC6B1A">
              <w:rPr>
                <w:rFonts w:ascii="Times New Roman" w:hAnsi="Times New Roman" w:cs="Times New Roman"/>
                <w:sz w:val="24"/>
                <w:szCs w:val="24"/>
              </w:rPr>
              <w:t xml:space="preserve"> väga olulised piirkonna ettevõtete arengut, tootearenduskeskuse tegevuse alustamist või</w:t>
            </w:r>
            <w:r w:rsidRPr="00FC6B1A">
              <w:rPr>
                <w:rFonts w:ascii="Times New Roman" w:hAnsi="Times New Roman" w:cs="Times New Roman"/>
                <w:sz w:val="24"/>
                <w:szCs w:val="24"/>
              </w:rPr>
              <w:t xml:space="preserve"> </w:t>
            </w:r>
            <w:proofErr w:type="spellStart"/>
            <w:r w:rsidRPr="00FC6B1A">
              <w:rPr>
                <w:rFonts w:ascii="Times New Roman" w:hAnsi="Times New Roman" w:cs="Times New Roman"/>
                <w:sz w:val="24"/>
                <w:szCs w:val="24"/>
              </w:rPr>
              <w:t>inkubantide</w:t>
            </w:r>
            <w:proofErr w:type="spellEnd"/>
            <w:r w:rsidRPr="00FC6B1A">
              <w:rPr>
                <w:rFonts w:ascii="Times New Roman" w:hAnsi="Times New Roman" w:cs="Times New Roman"/>
                <w:sz w:val="24"/>
                <w:szCs w:val="24"/>
              </w:rPr>
              <w:t xml:space="preserve"> tegevuse alustamist takistavad kitsaskohad. </w:t>
            </w:r>
          </w:p>
          <w:p w14:paraId="3EE4BB94" w14:textId="36303816" w:rsidR="00151EB8" w:rsidRPr="00FC6B1A" w:rsidRDefault="008F5346"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 xml:space="preserve">Inkubaator või tootearenduskeskus põhineb piirkonnapõhise ressursi või oskusteabe kasutamisel. </w:t>
            </w:r>
          </w:p>
          <w:p w14:paraId="145B4080" w14:textId="72E4719D" w:rsidR="0002224B" w:rsidRPr="00FC6B1A" w:rsidRDefault="0002224B"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Projektis kavandatud inkubaatori või tootearenduskeskuse asukohavalik lähtub olulisel määral sihtgrupi paiknemisest ja liikumisvõimalustega arvestamisest või oluliste partnerite asukohast maakonnas või suuremas piirkonnas.</w:t>
            </w:r>
          </w:p>
          <w:p w14:paraId="2EE7F97F" w14:textId="0FF88E9C" w:rsidR="0002224B" w:rsidRPr="00FC6B1A" w:rsidRDefault="0002224B"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Projekti tulemusena loodava tootearenduskeskuse teenuseid ja inkubaatori tee</w:t>
            </w:r>
            <w:r w:rsidR="00621CEA">
              <w:rPr>
                <w:rFonts w:ascii="Times New Roman" w:hAnsi="Times New Roman" w:cs="Times New Roman"/>
                <w:sz w:val="24"/>
                <w:szCs w:val="24"/>
              </w:rPr>
              <w:t>nuseid saavad kasutada ka teised</w:t>
            </w:r>
            <w:r w:rsidRPr="00FC6B1A">
              <w:rPr>
                <w:rFonts w:ascii="Times New Roman" w:hAnsi="Times New Roman" w:cs="Times New Roman"/>
                <w:sz w:val="24"/>
                <w:szCs w:val="24"/>
              </w:rPr>
              <w:t xml:space="preserve"> piirkonna ettevõtted</w:t>
            </w:r>
            <w:r w:rsidR="00621CEA">
              <w:rPr>
                <w:rFonts w:ascii="Times New Roman" w:hAnsi="Times New Roman" w:cs="Times New Roman"/>
                <w:sz w:val="24"/>
                <w:szCs w:val="24"/>
              </w:rPr>
              <w:t>.</w:t>
            </w:r>
          </w:p>
          <w:p w14:paraId="67FCF8A9" w14:textId="4D83BD41" w:rsidR="00151EB8" w:rsidRPr="00FC6B1A" w:rsidRDefault="0052395A"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Inkubaatori ja t</w:t>
            </w:r>
            <w:r w:rsidR="008F5346" w:rsidRPr="00FC6B1A">
              <w:rPr>
                <w:rFonts w:ascii="Times New Roman" w:hAnsi="Times New Roman" w:cs="Times New Roman"/>
                <w:sz w:val="24"/>
                <w:szCs w:val="24"/>
              </w:rPr>
              <w:t>ootearendusekeskuse teenused vastavad ettevõtete vajadustele ning võimaldavad ettevõtetel saadava oskusteabe ja/või tootearenduse abil pakkuda uusi või kvaliteetsemaid tooteid või teenuseid</w:t>
            </w:r>
            <w:r w:rsidRPr="00FC6B1A">
              <w:rPr>
                <w:rFonts w:ascii="Times New Roman" w:hAnsi="Times New Roman" w:cs="Times New Roman"/>
                <w:sz w:val="24"/>
                <w:szCs w:val="24"/>
              </w:rPr>
              <w:t>, projektiga luuakse  ettevõtjate vajadustest lähtuvad teenuste terviklahendused</w:t>
            </w:r>
            <w:r w:rsidR="00621CEA">
              <w:rPr>
                <w:rFonts w:ascii="Times New Roman" w:hAnsi="Times New Roman" w:cs="Times New Roman"/>
                <w:sz w:val="24"/>
                <w:szCs w:val="24"/>
              </w:rPr>
              <w:t>.</w:t>
            </w:r>
          </w:p>
          <w:p w14:paraId="79BF3087" w14:textId="5200447F" w:rsidR="0002224B" w:rsidRPr="00FC6B1A" w:rsidRDefault="0002224B"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Projektiga kavandatud investeeringu maht on vastavuses saavutatava mõjuga</w:t>
            </w:r>
            <w:r w:rsidR="00621CEA">
              <w:rPr>
                <w:rFonts w:ascii="Times New Roman" w:hAnsi="Times New Roman" w:cs="Times New Roman"/>
                <w:sz w:val="24"/>
                <w:szCs w:val="24"/>
              </w:rPr>
              <w:t>.</w:t>
            </w:r>
          </w:p>
          <w:p w14:paraId="429F5570" w14:textId="0D4295A7" w:rsidR="0002224B" w:rsidRPr="00FC6B1A" w:rsidRDefault="008F5346"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mõjul tegevust alustavate </w:t>
            </w:r>
            <w:proofErr w:type="spellStart"/>
            <w:r w:rsidRPr="00FC6B1A">
              <w:rPr>
                <w:rFonts w:ascii="Times New Roman" w:hAnsi="Times New Roman" w:cs="Times New Roman"/>
                <w:sz w:val="24"/>
                <w:szCs w:val="24"/>
              </w:rPr>
              <w:t>inkubantide</w:t>
            </w:r>
            <w:proofErr w:type="spellEnd"/>
            <w:r w:rsidRPr="00FC6B1A">
              <w:rPr>
                <w:rFonts w:ascii="Times New Roman" w:hAnsi="Times New Roman" w:cs="Times New Roman"/>
                <w:sz w:val="24"/>
                <w:szCs w:val="24"/>
              </w:rPr>
              <w:t xml:space="preserve"> tegevus loob olulised eeldused ettevõtluse arenguks maakonnas (maakonda luuakse uut ja vajalikku kompetentsi või tekib juurde ettevõtteid seni täitmata valdkondades). </w:t>
            </w:r>
          </w:p>
          <w:p w14:paraId="123B995E" w14:textId="4E73E03D" w:rsidR="0002224B" w:rsidRPr="00FC6B1A" w:rsidRDefault="0002224B"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 xml:space="preserve">Rajatav infrastruktuur võimaldab liituda vähemalt 20 inkubatsiooniteenuse kasutajal. </w:t>
            </w:r>
          </w:p>
          <w:p w14:paraId="597BFE5B" w14:textId="4E6E6352" w:rsidR="00151EB8" w:rsidRPr="00FC6B1A" w:rsidRDefault="006823D1"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3 aastat pärast projekti lõppu</w:t>
            </w:r>
            <w:r w:rsidR="008F5346" w:rsidRPr="00FC6B1A">
              <w:rPr>
                <w:rFonts w:ascii="Times New Roman" w:hAnsi="Times New Roman" w:cs="Times New Roman"/>
                <w:color w:val="FF0000"/>
                <w:sz w:val="24"/>
                <w:szCs w:val="24"/>
              </w:rPr>
              <w:t xml:space="preserve"> </w:t>
            </w:r>
            <w:r w:rsidR="008F5346" w:rsidRPr="00FC6B1A">
              <w:rPr>
                <w:rFonts w:ascii="Times New Roman" w:hAnsi="Times New Roman" w:cs="Times New Roman"/>
                <w:sz w:val="24"/>
                <w:szCs w:val="24"/>
              </w:rPr>
              <w:t xml:space="preserve">on inkubaatoris inkubatsiooniteenuse kasutajate poolt loodud vähemalt 20 uut töökohta, millest vähemalt 10 töökoha keskmine palk on maakonna keskmisega võrreldes kõrgem. </w:t>
            </w:r>
          </w:p>
          <w:p w14:paraId="4595BF37" w14:textId="1D69B91D" w:rsidR="0002224B" w:rsidRPr="00FC6B1A" w:rsidRDefault="0002224B" w:rsidP="00FC6B1A">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lastRenderedPageBreak/>
              <w:t>Projektis kavandatud tootearenduskeskus keskendub oluliselt valdkondadele, millel on piirkonnas laialdane kandepind ning potentsiaal keskmisest kõrgema palgaga töökohtade pakkumiseks.</w:t>
            </w:r>
          </w:p>
          <w:p w14:paraId="32CE8F71" w14:textId="6FF1BAAB" w:rsidR="000237AE" w:rsidRPr="00FC6B1A" w:rsidRDefault="008F5346" w:rsidP="00151EB8">
            <w:pPr>
              <w:pStyle w:val="ListParagraph"/>
              <w:numPr>
                <w:ilvl w:val="0"/>
                <w:numId w:val="19"/>
              </w:numPr>
              <w:jc w:val="both"/>
              <w:rPr>
                <w:rFonts w:ascii="Times New Roman" w:hAnsi="Times New Roman" w:cs="Times New Roman"/>
                <w:sz w:val="24"/>
                <w:szCs w:val="24"/>
              </w:rPr>
            </w:pPr>
            <w:r w:rsidRPr="00FC6B1A">
              <w:rPr>
                <w:rFonts w:ascii="Times New Roman" w:hAnsi="Times New Roman" w:cs="Times New Roman"/>
                <w:sz w:val="24"/>
                <w:szCs w:val="24"/>
              </w:rPr>
              <w:t xml:space="preserve">Tootearenduskeskuse teenuste ettevõtjatest kasutajate hulk </w:t>
            </w:r>
            <w:r w:rsidR="006823D1" w:rsidRPr="00FC6B1A">
              <w:rPr>
                <w:rFonts w:ascii="Times New Roman" w:hAnsi="Times New Roman" w:cs="Times New Roman"/>
                <w:sz w:val="24"/>
                <w:szCs w:val="24"/>
              </w:rPr>
              <w:t xml:space="preserve">3 aastat pärast projekti lõppu </w:t>
            </w:r>
            <w:r w:rsidRPr="00FC6B1A">
              <w:rPr>
                <w:rFonts w:ascii="Times New Roman" w:hAnsi="Times New Roman" w:cs="Times New Roman"/>
                <w:sz w:val="24"/>
                <w:szCs w:val="24"/>
              </w:rPr>
              <w:t xml:space="preserve">on vähemalt 30. </w:t>
            </w:r>
          </w:p>
        </w:tc>
      </w:tr>
    </w:tbl>
    <w:p w14:paraId="72DFA91D" w14:textId="77777777" w:rsidR="007700C3" w:rsidRPr="00151EB8" w:rsidRDefault="007700C3" w:rsidP="00151EB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8216"/>
      </w:tblGrid>
      <w:tr w:rsidR="00523558" w:rsidRPr="00151EB8" w14:paraId="6988489E" w14:textId="77777777" w:rsidTr="00523558">
        <w:tc>
          <w:tcPr>
            <w:tcW w:w="9062" w:type="dxa"/>
            <w:gridSpan w:val="2"/>
            <w:shd w:val="clear" w:color="auto" w:fill="D9D9D9" w:themeFill="background1" w:themeFillShade="D9"/>
          </w:tcPr>
          <w:p w14:paraId="0967ADEE" w14:textId="77777777" w:rsidR="00523558" w:rsidRPr="003D7A30" w:rsidRDefault="005235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 xml:space="preserve">Hindamiskriteerium 2: Projekti jätkusuutlikkus. </w:t>
            </w:r>
          </w:p>
        </w:tc>
      </w:tr>
      <w:tr w:rsidR="00523558" w:rsidRPr="00151EB8" w14:paraId="18507D83" w14:textId="77777777" w:rsidTr="00523558">
        <w:tc>
          <w:tcPr>
            <w:tcW w:w="9062" w:type="dxa"/>
            <w:gridSpan w:val="2"/>
            <w:shd w:val="clear" w:color="auto" w:fill="D9D9D9" w:themeFill="background1" w:themeFillShade="D9"/>
          </w:tcPr>
          <w:p w14:paraId="2C56C857" w14:textId="77777777" w:rsidR="00523558" w:rsidRPr="003D7A30" w:rsidRDefault="005235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Osakaal koondhindest 25%</w:t>
            </w:r>
          </w:p>
        </w:tc>
      </w:tr>
      <w:tr w:rsidR="00523558" w:rsidRPr="00151EB8" w14:paraId="74C68FBE" w14:textId="77777777" w:rsidTr="00523558">
        <w:tc>
          <w:tcPr>
            <w:tcW w:w="9062" w:type="dxa"/>
            <w:gridSpan w:val="2"/>
          </w:tcPr>
          <w:p w14:paraId="62EBBE24" w14:textId="77777777" w:rsidR="00151EB8" w:rsidRDefault="00151EB8" w:rsidP="00151EB8">
            <w:pPr>
              <w:jc w:val="both"/>
              <w:rPr>
                <w:rFonts w:ascii="Times New Roman" w:hAnsi="Times New Roman" w:cs="Times New Roman"/>
                <w:b/>
                <w:sz w:val="24"/>
                <w:szCs w:val="24"/>
              </w:rPr>
            </w:pPr>
          </w:p>
          <w:p w14:paraId="08EA43B9" w14:textId="77777777" w:rsidR="00151EB8" w:rsidRDefault="00523558" w:rsidP="00151EB8">
            <w:pPr>
              <w:jc w:val="both"/>
              <w:rPr>
                <w:rFonts w:ascii="Times New Roman" w:hAnsi="Times New Roman" w:cs="Times New Roman"/>
                <w:sz w:val="24"/>
                <w:szCs w:val="24"/>
              </w:rPr>
            </w:pPr>
            <w:r w:rsidRPr="00151EB8">
              <w:rPr>
                <w:rFonts w:ascii="Times New Roman" w:hAnsi="Times New Roman" w:cs="Times New Roman"/>
                <w:b/>
                <w:sz w:val="24"/>
                <w:szCs w:val="24"/>
              </w:rPr>
              <w:t>Hinnatakse:</w:t>
            </w:r>
            <w:r w:rsidRPr="00151EB8">
              <w:rPr>
                <w:rFonts w:ascii="Times New Roman" w:hAnsi="Times New Roman" w:cs="Times New Roman"/>
                <w:sz w:val="24"/>
                <w:szCs w:val="24"/>
              </w:rPr>
              <w:t xml:space="preserve"> </w:t>
            </w:r>
          </w:p>
          <w:p w14:paraId="1E34BF1D" w14:textId="762B3B40" w:rsidR="00523558" w:rsidRDefault="00155384" w:rsidP="00151EB8">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w:t>
            </w:r>
            <w:r>
              <w:rPr>
                <w:rFonts w:ascii="Times New Roman" w:hAnsi="Times New Roman" w:cs="Times New Roman"/>
                <w:sz w:val="24"/>
                <w:szCs w:val="24"/>
              </w:rPr>
              <w:t>s</w:t>
            </w:r>
            <w:r w:rsidRPr="003E4B75">
              <w:rPr>
                <w:rFonts w:ascii="Times New Roman" w:hAnsi="Times New Roman" w:cs="Times New Roman"/>
                <w:sz w:val="24"/>
                <w:szCs w:val="24"/>
              </w:rPr>
              <w:t xml:space="preserve">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hõlmavas </w:t>
            </w:r>
            <w:r w:rsidRPr="00555018">
              <w:rPr>
                <w:rFonts w:ascii="Times New Roman" w:hAnsi="Times New Roman" w:cs="Times New Roman"/>
                <w:sz w:val="24"/>
                <w:szCs w:val="24"/>
              </w:rPr>
              <w:t>piirkondliku</w:t>
            </w:r>
            <w:r>
              <w:rPr>
                <w:rFonts w:ascii="Times New Roman" w:hAnsi="Times New Roman" w:cs="Times New Roman"/>
                <w:sz w:val="24"/>
                <w:szCs w:val="24"/>
              </w:rPr>
              <w:t>s</w:t>
            </w:r>
            <w:r w:rsidRPr="00555018">
              <w:rPr>
                <w:rFonts w:ascii="Times New Roman" w:hAnsi="Times New Roman" w:cs="Times New Roman"/>
                <w:sz w:val="24"/>
                <w:szCs w:val="24"/>
              </w:rPr>
              <w:t xml:space="preserve"> koostööprojekti</w:t>
            </w:r>
            <w:r>
              <w:rPr>
                <w:rFonts w:ascii="Times New Roman" w:hAnsi="Times New Roman" w:cs="Times New Roman"/>
                <w:sz w:val="24"/>
                <w:szCs w:val="24"/>
              </w:rPr>
              <w:t xml:space="preserve">s </w:t>
            </w:r>
            <w:r w:rsidR="00523558" w:rsidRPr="00151EB8">
              <w:rPr>
                <w:rFonts w:ascii="Times New Roman" w:hAnsi="Times New Roman" w:cs="Times New Roman"/>
                <w:sz w:val="24"/>
                <w:szCs w:val="24"/>
              </w:rPr>
              <w:t>toodud tegevuste</w:t>
            </w:r>
            <w:r w:rsidR="00182ED0">
              <w:rPr>
                <w:rFonts w:ascii="Times New Roman" w:hAnsi="Times New Roman" w:cs="Times New Roman"/>
                <w:sz w:val="24"/>
                <w:szCs w:val="24"/>
              </w:rPr>
              <w:t xml:space="preserve"> terviklahenduste</w:t>
            </w:r>
            <w:r w:rsidR="00523558" w:rsidRPr="00151EB8">
              <w:rPr>
                <w:rFonts w:ascii="Times New Roman" w:hAnsi="Times New Roman" w:cs="Times New Roman"/>
                <w:sz w:val="24"/>
                <w:szCs w:val="24"/>
              </w:rPr>
              <w:t xml:space="preserve"> edasist jätkusuutlikkust. </w:t>
            </w:r>
          </w:p>
          <w:p w14:paraId="68948A22" w14:textId="77777777" w:rsidR="00151EB8" w:rsidRPr="00151EB8" w:rsidRDefault="00151EB8" w:rsidP="00151EB8">
            <w:pPr>
              <w:jc w:val="both"/>
              <w:rPr>
                <w:rFonts w:ascii="Times New Roman" w:hAnsi="Times New Roman" w:cs="Times New Roman"/>
                <w:sz w:val="24"/>
                <w:szCs w:val="24"/>
              </w:rPr>
            </w:pPr>
          </w:p>
          <w:p w14:paraId="258428F3" w14:textId="1A55FEC3" w:rsidR="00523558" w:rsidRPr="00151EB8" w:rsidRDefault="00523558" w:rsidP="00151EB8">
            <w:pPr>
              <w:jc w:val="both"/>
              <w:rPr>
                <w:rFonts w:ascii="Times New Roman" w:hAnsi="Times New Roman" w:cs="Times New Roman"/>
                <w:sz w:val="24"/>
                <w:szCs w:val="24"/>
              </w:rPr>
            </w:pPr>
            <w:r w:rsidRPr="00151EB8">
              <w:rPr>
                <w:rFonts w:ascii="Times New Roman" w:hAnsi="Times New Roman" w:cs="Times New Roman"/>
                <w:b/>
                <w:sz w:val="24"/>
                <w:szCs w:val="24"/>
              </w:rPr>
              <w:t xml:space="preserve">Hindamisel arvestatakse </w:t>
            </w:r>
            <w:r w:rsidR="00155384">
              <w:rPr>
                <w:rFonts w:ascii="Times New Roman" w:hAnsi="Times New Roman" w:cs="Times New Roman"/>
                <w:b/>
                <w:sz w:val="24"/>
                <w:szCs w:val="24"/>
              </w:rPr>
              <w:t xml:space="preserve">maakondliku tähtsusega või piirkondliku koostööprojekti puhul </w:t>
            </w:r>
            <w:r w:rsidRPr="00151EB8">
              <w:rPr>
                <w:rFonts w:ascii="Times New Roman" w:hAnsi="Times New Roman" w:cs="Times New Roman"/>
                <w:b/>
                <w:sz w:val="24"/>
                <w:szCs w:val="24"/>
              </w:rPr>
              <w:t>järgmiseid aspekte</w:t>
            </w:r>
            <w:r w:rsidRPr="00151EB8">
              <w:rPr>
                <w:rFonts w:ascii="Times New Roman" w:hAnsi="Times New Roman" w:cs="Times New Roman"/>
                <w:sz w:val="24"/>
                <w:szCs w:val="24"/>
              </w:rPr>
              <w:t xml:space="preserve">: </w:t>
            </w:r>
          </w:p>
          <w:p w14:paraId="7CFCFCC6" w14:textId="7364BF78" w:rsidR="009B3F9E" w:rsidRDefault="009B3F9E" w:rsidP="00151EB8">
            <w:pPr>
              <w:ind w:left="708"/>
              <w:jc w:val="both"/>
              <w:rPr>
                <w:rFonts w:ascii="Times New Roman" w:hAnsi="Times New Roman" w:cs="Times New Roman"/>
                <w:sz w:val="24"/>
                <w:szCs w:val="24"/>
              </w:rPr>
            </w:pPr>
          </w:p>
          <w:p w14:paraId="5A23A9A6" w14:textId="57A3691A"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 xml:space="preserve">Kuivõrd jätkusuutlikud on projekti raames kavandatavad tulemused (sh rajatavate infrastruktuuriobjektide finantsiline ja halduslik jätkusuutlikkus). </w:t>
            </w:r>
          </w:p>
          <w:p w14:paraId="25302810" w14:textId="1337325B" w:rsidR="008F5346" w:rsidRPr="00FC6B1A" w:rsidRDefault="00346C25" w:rsidP="00FC6B1A">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Kuivõrd terviklikult on lahendatud projektis planeeritud</w:t>
            </w:r>
            <w:r w:rsidR="008F5346" w:rsidRPr="00FC6B1A">
              <w:rPr>
                <w:rFonts w:ascii="Times New Roman" w:hAnsi="Times New Roman" w:cs="Times New Roman"/>
                <w:sz w:val="24"/>
                <w:szCs w:val="24"/>
              </w:rPr>
              <w:t xml:space="preserve"> tegevuste</w:t>
            </w:r>
            <w:r w:rsidR="00182ED0" w:rsidRPr="00FC6B1A">
              <w:rPr>
                <w:rFonts w:ascii="Times New Roman" w:hAnsi="Times New Roman" w:cs="Times New Roman"/>
                <w:sz w:val="24"/>
                <w:szCs w:val="24"/>
              </w:rPr>
              <w:t xml:space="preserve"> ja terviklahenduste </w:t>
            </w:r>
            <w:r>
              <w:rPr>
                <w:rFonts w:ascii="Times New Roman" w:hAnsi="Times New Roman" w:cs="Times New Roman"/>
                <w:sz w:val="24"/>
                <w:szCs w:val="24"/>
              </w:rPr>
              <w:t>ulatus</w:t>
            </w:r>
            <w:r w:rsidR="008F5346" w:rsidRPr="00FC6B1A">
              <w:rPr>
                <w:rFonts w:ascii="Times New Roman" w:hAnsi="Times New Roman" w:cs="Times New Roman"/>
                <w:sz w:val="24"/>
                <w:szCs w:val="24"/>
              </w:rPr>
              <w:t xml:space="preserve"> arendatava inkubaatori või tootearenduskeskuse jätkusuutlikkuse tagamiseks. </w:t>
            </w:r>
          </w:p>
          <w:p w14:paraId="233CACED" w14:textId="6D83FF2B" w:rsidR="0002224B" w:rsidRPr="00FC6B1A" w:rsidRDefault="0002224B"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Kuivõrd on maakondliku projekti puhul jätkusuutlikkuse tagamiseks vajalike tegevuste puhul kaasatud erinevad kohalikud omavalitsused/osapooled erinevatest kohalikest omavalitsustest ning piirkondliku projekti puhul osapooled erinevatest maakondadest.</w:t>
            </w:r>
          </w:p>
          <w:p w14:paraId="437DB0B9" w14:textId="3D635F38"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 xml:space="preserve">Kuivõrd asjakohased, efektiivsed ning sihtrühmale vastavad on edasised kavandatud turundus- vm toetavad tegevused. </w:t>
            </w:r>
          </w:p>
          <w:p w14:paraId="47F18AEA" w14:textId="0B500C6E"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 xml:space="preserve">Mil määral on objekti sihipärane kasutamine tagatud pädeva haldaja, vajalike partnerite ja piisavate vahendite olemasoluga püsikuludeks. </w:t>
            </w:r>
          </w:p>
          <w:p w14:paraId="186B0774" w14:textId="37F6FE67"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Kavandatud kulude-tulude prognoosi realistlikkust ja vastavuses olekut inkubaatori või tootearenduskeskuse pikemajalise tegevuskavaga.</w:t>
            </w:r>
          </w:p>
          <w:p w14:paraId="5D09BBD0" w14:textId="74AC3CE0"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Kuivõrd on objekti haldaja või omanik võimeline tagama objekti edasised haldus</w:t>
            </w:r>
            <w:r w:rsidR="006823D1" w:rsidRPr="00FC6B1A">
              <w:rPr>
                <w:rFonts w:ascii="Times New Roman" w:hAnsi="Times New Roman" w:cs="Times New Roman"/>
                <w:sz w:val="24"/>
                <w:szCs w:val="24"/>
              </w:rPr>
              <w:t xml:space="preserve">- </w:t>
            </w:r>
            <w:r w:rsidRPr="00FC6B1A">
              <w:rPr>
                <w:rFonts w:ascii="Times New Roman" w:hAnsi="Times New Roman" w:cs="Times New Roman"/>
                <w:sz w:val="24"/>
                <w:szCs w:val="24"/>
              </w:rPr>
              <w:t xml:space="preserve">ja arenduskulud. </w:t>
            </w:r>
          </w:p>
          <w:p w14:paraId="59771020" w14:textId="6D541A57" w:rsidR="008F5346" w:rsidRPr="00FC6B1A" w:rsidRDefault="006823D1"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Mil</w:t>
            </w:r>
            <w:r w:rsidR="00155384" w:rsidRPr="00FC6B1A">
              <w:rPr>
                <w:rFonts w:ascii="Times New Roman" w:hAnsi="Times New Roman" w:cs="Times New Roman"/>
                <w:sz w:val="24"/>
                <w:szCs w:val="24"/>
              </w:rPr>
              <w:t xml:space="preserve"> </w:t>
            </w:r>
            <w:r w:rsidR="008F5346" w:rsidRPr="00FC6B1A">
              <w:rPr>
                <w:rFonts w:ascii="Times New Roman" w:hAnsi="Times New Roman" w:cs="Times New Roman"/>
                <w:sz w:val="24"/>
                <w:szCs w:val="24"/>
              </w:rPr>
              <w:t xml:space="preserve">määral vajab projekt peale rakendumist nii tegevuskuludeks kui lisainvesteeringuteks täiendavaid toetusi riigi- või omavalitsuse eelarvest või </w:t>
            </w:r>
            <w:proofErr w:type="spellStart"/>
            <w:r w:rsidR="008F5346" w:rsidRPr="00FC6B1A">
              <w:rPr>
                <w:rFonts w:ascii="Times New Roman" w:hAnsi="Times New Roman" w:cs="Times New Roman"/>
                <w:sz w:val="24"/>
                <w:szCs w:val="24"/>
              </w:rPr>
              <w:t>välisfondidelt</w:t>
            </w:r>
            <w:proofErr w:type="spellEnd"/>
            <w:r w:rsidR="008F5346" w:rsidRPr="00FC6B1A">
              <w:rPr>
                <w:rFonts w:ascii="Times New Roman" w:hAnsi="Times New Roman" w:cs="Times New Roman"/>
                <w:sz w:val="24"/>
                <w:szCs w:val="24"/>
              </w:rPr>
              <w:t xml:space="preserve">. </w:t>
            </w:r>
          </w:p>
          <w:p w14:paraId="47B2753D" w14:textId="210CD5BF"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 xml:space="preserve">Mil määral on </w:t>
            </w:r>
            <w:proofErr w:type="spellStart"/>
            <w:r w:rsidRPr="00FC6B1A">
              <w:rPr>
                <w:rFonts w:ascii="Times New Roman" w:hAnsi="Times New Roman" w:cs="Times New Roman"/>
                <w:sz w:val="24"/>
                <w:szCs w:val="24"/>
              </w:rPr>
              <w:t>etapilise</w:t>
            </w:r>
            <w:proofErr w:type="spellEnd"/>
            <w:r w:rsidRPr="00FC6B1A">
              <w:rPr>
                <w:rFonts w:ascii="Times New Roman" w:hAnsi="Times New Roman" w:cs="Times New Roman"/>
                <w:sz w:val="24"/>
                <w:szCs w:val="24"/>
              </w:rPr>
              <w:t xml:space="preserve"> arendamise puhul finantsvahendid objekti edasiseks arendamiseks tagatud. </w:t>
            </w:r>
          </w:p>
          <w:p w14:paraId="2448884B" w14:textId="04C02E14"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Kuivõrd saavutatav on tegevuste</w:t>
            </w:r>
            <w:r w:rsidR="00C72672">
              <w:rPr>
                <w:rFonts w:ascii="Times New Roman" w:hAnsi="Times New Roman" w:cs="Times New Roman"/>
                <w:sz w:val="24"/>
                <w:szCs w:val="24"/>
              </w:rPr>
              <w:t xml:space="preserve"> ja terviklahenduste</w:t>
            </w:r>
            <w:r w:rsidRPr="00FC6B1A">
              <w:rPr>
                <w:rFonts w:ascii="Times New Roman" w:hAnsi="Times New Roman" w:cs="Times New Roman"/>
                <w:sz w:val="24"/>
                <w:szCs w:val="24"/>
              </w:rPr>
              <w:t xml:space="preserve"> pikaajaline mõju ehk kuivõrd on projekti pikaajaline mõju sõltuvuses välistest negatiivsetest arengutrendidest ja kas on olemas strateegia nende kompenseerimiseks. </w:t>
            </w:r>
          </w:p>
          <w:p w14:paraId="0DA164A4" w14:textId="038ED5E8" w:rsidR="008F5346" w:rsidRPr="00FC6B1A" w:rsidRDefault="008F5346" w:rsidP="00FC6B1A">
            <w:pPr>
              <w:pStyle w:val="ListParagraph"/>
              <w:numPr>
                <w:ilvl w:val="0"/>
                <w:numId w:val="21"/>
              </w:numPr>
              <w:jc w:val="both"/>
              <w:rPr>
                <w:rFonts w:ascii="Times New Roman" w:hAnsi="Times New Roman" w:cs="Times New Roman"/>
                <w:sz w:val="24"/>
                <w:szCs w:val="24"/>
              </w:rPr>
            </w:pPr>
            <w:r w:rsidRPr="00FC6B1A">
              <w:rPr>
                <w:rFonts w:ascii="Times New Roman" w:hAnsi="Times New Roman" w:cs="Times New Roman"/>
                <w:sz w:val="24"/>
                <w:szCs w:val="24"/>
              </w:rPr>
              <w:t xml:space="preserve">Milline on riskide avaldumise tõenäosus projekti mõju saavutamise seisukohast (sh </w:t>
            </w:r>
            <w:proofErr w:type="spellStart"/>
            <w:r w:rsidRPr="00FC6B1A">
              <w:rPr>
                <w:rFonts w:ascii="Times New Roman" w:hAnsi="Times New Roman" w:cs="Times New Roman"/>
                <w:sz w:val="24"/>
                <w:szCs w:val="24"/>
              </w:rPr>
              <w:t>sise</w:t>
            </w:r>
            <w:proofErr w:type="spellEnd"/>
            <w:r w:rsidRPr="00FC6B1A">
              <w:rPr>
                <w:rFonts w:ascii="Times New Roman" w:hAnsi="Times New Roman" w:cs="Times New Roman"/>
                <w:sz w:val="24"/>
                <w:szCs w:val="24"/>
              </w:rPr>
              <w:t xml:space="preserve">- ja </w:t>
            </w:r>
            <w:proofErr w:type="spellStart"/>
            <w:r w:rsidRPr="00FC6B1A">
              <w:rPr>
                <w:rFonts w:ascii="Times New Roman" w:hAnsi="Times New Roman" w:cs="Times New Roman"/>
                <w:sz w:val="24"/>
                <w:szCs w:val="24"/>
              </w:rPr>
              <w:t>välisriskid</w:t>
            </w:r>
            <w:proofErr w:type="spellEnd"/>
            <w:r w:rsidRPr="00FC6B1A">
              <w:rPr>
                <w:rFonts w:ascii="Times New Roman" w:hAnsi="Times New Roman" w:cs="Times New Roman"/>
                <w:sz w:val="24"/>
                <w:szCs w:val="24"/>
              </w:rPr>
              <w:t xml:space="preserve">) ning mil määral on riskide maandamise võimalused tagatud. </w:t>
            </w:r>
          </w:p>
          <w:p w14:paraId="039E8E52" w14:textId="77777777" w:rsidR="00A62A58" w:rsidRPr="00151EB8" w:rsidRDefault="00A62A58" w:rsidP="00151EB8">
            <w:pPr>
              <w:ind w:left="708"/>
              <w:jc w:val="both"/>
              <w:rPr>
                <w:rFonts w:ascii="Times New Roman" w:hAnsi="Times New Roman" w:cs="Times New Roman"/>
                <w:sz w:val="24"/>
                <w:szCs w:val="24"/>
              </w:rPr>
            </w:pPr>
          </w:p>
        </w:tc>
      </w:tr>
      <w:tr w:rsidR="00A62A58" w:rsidRPr="00151EB8" w14:paraId="37276245" w14:textId="77777777" w:rsidTr="00A62A58">
        <w:tc>
          <w:tcPr>
            <w:tcW w:w="846" w:type="dxa"/>
          </w:tcPr>
          <w:p w14:paraId="00854F75"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Hinne</w:t>
            </w:r>
          </w:p>
        </w:tc>
        <w:tc>
          <w:tcPr>
            <w:tcW w:w="8216" w:type="dxa"/>
          </w:tcPr>
          <w:p w14:paraId="1545F07B"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Taseme kirjeldus</w:t>
            </w:r>
          </w:p>
        </w:tc>
      </w:tr>
      <w:tr w:rsidR="00A62A58" w:rsidRPr="00151EB8" w14:paraId="23532567" w14:textId="77777777" w:rsidTr="00A62A58">
        <w:tc>
          <w:tcPr>
            <w:tcW w:w="846" w:type="dxa"/>
          </w:tcPr>
          <w:p w14:paraId="7CF1D042"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lastRenderedPageBreak/>
              <w:t>0</w:t>
            </w:r>
          </w:p>
        </w:tc>
        <w:tc>
          <w:tcPr>
            <w:tcW w:w="8216" w:type="dxa"/>
          </w:tcPr>
          <w:p w14:paraId="63CF7EBE" w14:textId="77777777" w:rsidR="00151EB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Tulemuste kestlikkus pärast projekti lõppu ei ole tagatud: projekti elluviimise järgsed tegevused ei ole läbimõeldud, realistlikud või puuduvad nende elluviimiseks vajalikud finants- või muud vahendid. </w:t>
            </w:r>
          </w:p>
          <w:p w14:paraId="2A3E2826" w14:textId="77777777" w:rsidR="00151EB8"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Planeeritavate tegevuste valik ei ole kompleksne, nende ulatus ei ole piisav ja ühtselt eesmärgistatud, et tagada projektiga arendatava inkubaatori või tootearenduskeskuse jätkusuutlikkus. </w:t>
            </w:r>
          </w:p>
          <w:p w14:paraId="643E08E3" w14:textId="73C9E91B" w:rsidR="00621CEA" w:rsidRPr="00621CEA" w:rsidRDefault="00621CEA" w:rsidP="00621CEA">
            <w:pPr>
              <w:pStyle w:val="ListParagraph"/>
              <w:numPr>
                <w:ilvl w:val="0"/>
                <w:numId w:val="22"/>
              </w:numPr>
              <w:rPr>
                <w:rFonts w:ascii="Times New Roman" w:hAnsi="Times New Roman" w:cs="Times New Roman"/>
                <w:sz w:val="24"/>
                <w:szCs w:val="24"/>
              </w:rPr>
            </w:pPr>
            <w:r w:rsidRPr="00FC6B1A">
              <w:rPr>
                <w:rFonts w:ascii="Times New Roman" w:hAnsi="Times New Roman" w:cs="Times New Roman"/>
                <w:sz w:val="24"/>
                <w:szCs w:val="24"/>
              </w:rPr>
              <w:t>Maakondliku projekti puhul jätkusuutlikkuse tagamiseks vajalike tegevuste puhul ei ole kaasatud erinevaid kohalikke omavalitsusi/osapooli erinevatest kohalikest omavalitsustest ning piirkondliku projekti puhul osapooli erinevatest maakondadest.</w:t>
            </w:r>
          </w:p>
          <w:p w14:paraId="2D970D93" w14:textId="77777777" w:rsidR="00151EB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Tegevuste edasise sihipärase teostamisega seotud püsikulude katmine ei ole tagatud. Puudub kindlus, et leitakse vahendid järgnevate etappide elluviimiseks (võimalikud finantseerimisallikad on kirjeldamata), kui järgnevad etapid on vajalikud. </w:t>
            </w:r>
          </w:p>
          <w:p w14:paraId="16F09D17" w14:textId="77777777" w:rsidR="00151EB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Riskide avaldumise tõenäosus on suur (näiteks väliste negatiivsete arengutrendide tõttu) ning nende maandamine ei ole tagatud. </w:t>
            </w:r>
          </w:p>
          <w:p w14:paraId="27C74948" w14:textId="77777777" w:rsidR="00A62A5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On tuvastatav muu väline risk, mis seab kahtluse alla projekti tulemuste jätkusuutlikkuse.</w:t>
            </w:r>
          </w:p>
        </w:tc>
      </w:tr>
      <w:tr w:rsidR="00A62A58" w:rsidRPr="00151EB8" w14:paraId="1EB236DA" w14:textId="77777777" w:rsidTr="00A62A58">
        <w:tc>
          <w:tcPr>
            <w:tcW w:w="846" w:type="dxa"/>
          </w:tcPr>
          <w:p w14:paraId="47CE9684"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1</w:t>
            </w:r>
          </w:p>
        </w:tc>
        <w:tc>
          <w:tcPr>
            <w:tcW w:w="8216" w:type="dxa"/>
          </w:tcPr>
          <w:p w14:paraId="5B712556" w14:textId="77777777" w:rsidR="00A62A58" w:rsidRPr="00FC6B1A" w:rsidRDefault="00151EB8" w:rsidP="00FC6B1A">
            <w:pPr>
              <w:jc w:val="both"/>
              <w:rPr>
                <w:rFonts w:ascii="Times New Roman" w:hAnsi="Times New Roman" w:cs="Times New Roman"/>
                <w:sz w:val="24"/>
                <w:szCs w:val="24"/>
              </w:rPr>
            </w:pPr>
            <w:r w:rsidRPr="00FC6B1A">
              <w:rPr>
                <w:rFonts w:ascii="Times New Roman" w:hAnsi="Times New Roman" w:cs="Times New Roman"/>
                <w:sz w:val="24"/>
                <w:szCs w:val="24"/>
              </w:rPr>
              <w:t xml:space="preserve">Vahepealne tase </w:t>
            </w:r>
          </w:p>
        </w:tc>
      </w:tr>
      <w:tr w:rsidR="00A62A58" w:rsidRPr="00151EB8" w14:paraId="5E0F6A5E" w14:textId="77777777" w:rsidTr="00A62A58">
        <w:tc>
          <w:tcPr>
            <w:tcW w:w="846" w:type="dxa"/>
          </w:tcPr>
          <w:p w14:paraId="35EEFE2C"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2</w:t>
            </w:r>
          </w:p>
        </w:tc>
        <w:tc>
          <w:tcPr>
            <w:tcW w:w="8216" w:type="dxa"/>
          </w:tcPr>
          <w:p w14:paraId="2C99A192" w14:textId="266FD233" w:rsidR="00151EB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elluviimise järgne tegevusplaan on </w:t>
            </w:r>
            <w:r w:rsidR="00641217" w:rsidRPr="00FC6B1A">
              <w:rPr>
                <w:rFonts w:ascii="Times New Roman" w:hAnsi="Times New Roman" w:cs="Times New Roman"/>
                <w:sz w:val="24"/>
                <w:szCs w:val="24"/>
              </w:rPr>
              <w:t xml:space="preserve">üldiselt </w:t>
            </w:r>
            <w:r w:rsidRPr="00FC6B1A">
              <w:rPr>
                <w:rFonts w:ascii="Times New Roman" w:hAnsi="Times New Roman" w:cs="Times New Roman"/>
                <w:sz w:val="24"/>
                <w:szCs w:val="24"/>
              </w:rPr>
              <w:t xml:space="preserve">realistlik, tulemuste kestlikkus pärast projekti lõppu on tõenäoline. </w:t>
            </w:r>
          </w:p>
          <w:p w14:paraId="74D1A6A0" w14:textId="77777777" w:rsidR="00C72672"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Projektijärgne toimimissuutlikkus on </w:t>
            </w:r>
            <w:r w:rsidR="00641217" w:rsidRPr="00FC6B1A">
              <w:rPr>
                <w:rFonts w:ascii="Times New Roman" w:hAnsi="Times New Roman" w:cs="Times New Roman"/>
                <w:sz w:val="24"/>
                <w:szCs w:val="24"/>
              </w:rPr>
              <w:t xml:space="preserve">üldjoontes </w:t>
            </w:r>
            <w:r w:rsidRPr="00FC6B1A">
              <w:rPr>
                <w:rFonts w:ascii="Times New Roman" w:hAnsi="Times New Roman" w:cs="Times New Roman"/>
                <w:sz w:val="24"/>
                <w:szCs w:val="24"/>
              </w:rPr>
              <w:t xml:space="preserve">tagatud: vajalikud ressursid on olemas või tõenäoliselt võimalikud kaasata ning meeskonna kompetentsid tagatud või tõenäoliselt võimalik luua. </w:t>
            </w:r>
          </w:p>
          <w:p w14:paraId="46677CD4" w14:textId="29F2476E" w:rsidR="00641217" w:rsidRPr="00FC6B1A" w:rsidRDefault="00641217"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Planeeritavate tegevuste valikus on mõningaid puudusi, </w:t>
            </w:r>
            <w:r w:rsidR="008F5346" w:rsidRPr="00FC6B1A">
              <w:rPr>
                <w:rFonts w:ascii="Times New Roman" w:hAnsi="Times New Roman" w:cs="Times New Roman"/>
                <w:sz w:val="24"/>
                <w:szCs w:val="24"/>
              </w:rPr>
              <w:t>et tagada projektiga arendatava inkubaatori või tootearenduskeskuse jätkusuutlikkus.</w:t>
            </w:r>
          </w:p>
          <w:p w14:paraId="48E324EA" w14:textId="35A21DA2" w:rsidR="00641217" w:rsidRPr="00FC6B1A" w:rsidRDefault="00641217"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Maakondliku projekti puhul jätkusuutlikkuse tagamiseks vajalike tegevuste puhul on kaasatud üksikuid kohalikke omavalitsusi/osapooli</w:t>
            </w:r>
            <w:r w:rsidR="00697842">
              <w:rPr>
                <w:rFonts w:ascii="Times New Roman" w:hAnsi="Times New Roman" w:cs="Times New Roman"/>
                <w:sz w:val="24"/>
                <w:szCs w:val="24"/>
              </w:rPr>
              <w:t xml:space="preserve"> </w:t>
            </w:r>
            <w:r w:rsidRPr="00FC6B1A">
              <w:rPr>
                <w:rFonts w:ascii="Times New Roman" w:hAnsi="Times New Roman" w:cs="Times New Roman"/>
                <w:sz w:val="24"/>
                <w:szCs w:val="24"/>
              </w:rPr>
              <w:t>erinevatest kohalikest omavalitsustest ning piirkondliku projekti puhul üksikuid osapooli erinevatest maakondadest.</w:t>
            </w:r>
          </w:p>
          <w:p w14:paraId="2CF8CF04" w14:textId="498B375C"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Rajatava inkubaatori või tootearenduskeskuse edasise eesmärgipärase tegevuse tagamiseks ei ole toetuse saajal endal kinnitatult piisavalt rahalisi vahendeid püsikuludeks, kuid need on tõenäoliselt võimalik saada. </w:t>
            </w:r>
          </w:p>
          <w:p w14:paraId="602A9E7F" w14:textId="5BB477A7" w:rsidR="00A62A5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Riskide avaldumise tõenäosus projekti mõju saavutamise seisukohast on keskpärane, nendega toimetulek riski ilmnemisel ei ole tagatud</w:t>
            </w:r>
            <w:r w:rsidR="00C72672">
              <w:rPr>
                <w:rFonts w:ascii="Times New Roman" w:hAnsi="Times New Roman" w:cs="Times New Roman"/>
                <w:sz w:val="24"/>
                <w:szCs w:val="24"/>
              </w:rPr>
              <w:t>.</w:t>
            </w:r>
          </w:p>
        </w:tc>
      </w:tr>
      <w:tr w:rsidR="00A62A58" w:rsidRPr="00151EB8" w14:paraId="1196C08E" w14:textId="77777777" w:rsidTr="00A62A58">
        <w:tc>
          <w:tcPr>
            <w:tcW w:w="846" w:type="dxa"/>
          </w:tcPr>
          <w:p w14:paraId="10707823"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3</w:t>
            </w:r>
          </w:p>
        </w:tc>
        <w:tc>
          <w:tcPr>
            <w:tcW w:w="8216" w:type="dxa"/>
          </w:tcPr>
          <w:p w14:paraId="45BD7DFA" w14:textId="77777777" w:rsidR="00A62A58" w:rsidRPr="00697842" w:rsidRDefault="000D0310" w:rsidP="00697842">
            <w:pPr>
              <w:jc w:val="both"/>
              <w:rPr>
                <w:rFonts w:ascii="Times New Roman" w:hAnsi="Times New Roman" w:cs="Times New Roman"/>
                <w:sz w:val="24"/>
                <w:szCs w:val="24"/>
              </w:rPr>
            </w:pPr>
            <w:r w:rsidRPr="00697842">
              <w:rPr>
                <w:rFonts w:ascii="Times New Roman" w:hAnsi="Times New Roman" w:cs="Times New Roman"/>
                <w:sz w:val="24"/>
                <w:szCs w:val="24"/>
              </w:rPr>
              <w:t xml:space="preserve">Vahepealne tase </w:t>
            </w:r>
          </w:p>
        </w:tc>
      </w:tr>
      <w:tr w:rsidR="00A62A58" w:rsidRPr="00151EB8" w14:paraId="6E3A39D2" w14:textId="77777777" w:rsidTr="00A62A58">
        <w:tc>
          <w:tcPr>
            <w:tcW w:w="846" w:type="dxa"/>
          </w:tcPr>
          <w:p w14:paraId="5F65CE2B"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4</w:t>
            </w:r>
          </w:p>
        </w:tc>
        <w:tc>
          <w:tcPr>
            <w:tcW w:w="8216" w:type="dxa"/>
          </w:tcPr>
          <w:p w14:paraId="5FA32581" w14:textId="27579A7B"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Projekti elluviimise järgne tegevusplaan</w:t>
            </w:r>
            <w:r w:rsidR="00697842">
              <w:rPr>
                <w:rFonts w:ascii="Times New Roman" w:hAnsi="Times New Roman" w:cs="Times New Roman"/>
                <w:sz w:val="24"/>
                <w:szCs w:val="24"/>
              </w:rPr>
              <w:t xml:space="preserve"> </w:t>
            </w:r>
            <w:r w:rsidRPr="00FC6B1A">
              <w:rPr>
                <w:rFonts w:ascii="Times New Roman" w:hAnsi="Times New Roman" w:cs="Times New Roman"/>
                <w:sz w:val="24"/>
                <w:szCs w:val="24"/>
              </w:rPr>
              <w:t xml:space="preserve">on põhjalik ja </w:t>
            </w:r>
            <w:r w:rsidR="00670250" w:rsidRPr="00FC6B1A">
              <w:rPr>
                <w:rFonts w:ascii="Times New Roman" w:hAnsi="Times New Roman" w:cs="Times New Roman"/>
                <w:sz w:val="24"/>
                <w:szCs w:val="24"/>
              </w:rPr>
              <w:t xml:space="preserve">terviklahendused </w:t>
            </w:r>
            <w:r w:rsidRPr="00FC6B1A">
              <w:rPr>
                <w:rFonts w:ascii="Times New Roman" w:hAnsi="Times New Roman" w:cs="Times New Roman"/>
                <w:sz w:val="24"/>
                <w:szCs w:val="24"/>
              </w:rPr>
              <w:t>realistlik</w:t>
            </w:r>
            <w:r w:rsidR="00670250" w:rsidRPr="00FC6B1A">
              <w:rPr>
                <w:rFonts w:ascii="Times New Roman" w:hAnsi="Times New Roman" w:cs="Times New Roman"/>
                <w:sz w:val="24"/>
                <w:szCs w:val="24"/>
              </w:rPr>
              <w:t>ud</w:t>
            </w:r>
            <w:r w:rsidRPr="00FC6B1A">
              <w:rPr>
                <w:rFonts w:ascii="Times New Roman" w:hAnsi="Times New Roman" w:cs="Times New Roman"/>
                <w:sz w:val="24"/>
                <w:szCs w:val="24"/>
              </w:rPr>
              <w:t xml:space="preserve">, tulemuste kestlikkus pärast projekti lõppu on tagatud. </w:t>
            </w:r>
          </w:p>
          <w:p w14:paraId="10E2B68F" w14:textId="77777777"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Projektijärgne toimimissuutlikkus on tagatud väga heal tasemel: vajalikud ressursid on olemas ning meeskonna kompetentsid tagatud. </w:t>
            </w:r>
          </w:p>
          <w:p w14:paraId="6482469E" w14:textId="77777777"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Planeeritavate tegevuste valik on kompleksne, nende ulatus piisav ja ühtselt eesmärgistatud, et tagada projektiga arendatava inkubaatori või tootearenduskeskuse jätkusuutlikkus. </w:t>
            </w:r>
          </w:p>
          <w:p w14:paraId="6957A76A" w14:textId="19BC187B" w:rsidR="00641217" w:rsidRPr="00FC6B1A" w:rsidRDefault="00641217"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Maakondliku projekti puhul jätkusuutlikkuse tagamiseks vajalike tegevuste puhul on kaasatud </w:t>
            </w:r>
            <w:r w:rsidRPr="00697842">
              <w:rPr>
                <w:rFonts w:ascii="Times New Roman" w:hAnsi="Times New Roman" w:cs="Times New Roman"/>
                <w:sz w:val="24"/>
                <w:szCs w:val="24"/>
              </w:rPr>
              <w:t>olulisel määral</w:t>
            </w:r>
            <w:r w:rsidRPr="00FC6B1A">
              <w:rPr>
                <w:rFonts w:ascii="Times New Roman" w:hAnsi="Times New Roman" w:cs="Times New Roman"/>
                <w:sz w:val="24"/>
                <w:szCs w:val="24"/>
              </w:rPr>
              <w:t xml:space="preserve"> erinevaid kohalikke omavalitsusi/osapooli  erinevatest kohalikest omavalitsustest ning piirkondliku projekti puhul erinevatest maakondadest.</w:t>
            </w:r>
          </w:p>
          <w:p w14:paraId="74DBFDDA" w14:textId="77777777"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lastRenderedPageBreak/>
              <w:t xml:space="preserve">Rajatava inkubaatori või tootearenduskeskuse edasise eesmärgipärase tegevuse tagamiseks on piisavad rahalised vahendid püsikuludeks või need on võimalik teenuste osutamisega teenida. </w:t>
            </w:r>
          </w:p>
          <w:p w14:paraId="36A687F6" w14:textId="77777777"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Kui järgnevad etapid on vajalikud, on tõendatud vahendite leidmine järgnevate etappide elluviimiseks. </w:t>
            </w:r>
          </w:p>
          <w:p w14:paraId="2DBAB445" w14:textId="77777777" w:rsidR="000D0310"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 xml:space="preserve">Projekti kui kompleksi kohta on koostatud arengukava ja pikaajaline rahastamiskava. </w:t>
            </w:r>
          </w:p>
          <w:p w14:paraId="6EA294FA" w14:textId="77777777" w:rsidR="00A62A58" w:rsidRPr="00FC6B1A" w:rsidRDefault="008F5346" w:rsidP="00FC6B1A">
            <w:pPr>
              <w:pStyle w:val="ListParagraph"/>
              <w:numPr>
                <w:ilvl w:val="0"/>
                <w:numId w:val="22"/>
              </w:numPr>
              <w:jc w:val="both"/>
              <w:rPr>
                <w:rFonts w:ascii="Times New Roman" w:hAnsi="Times New Roman" w:cs="Times New Roman"/>
                <w:sz w:val="24"/>
                <w:szCs w:val="24"/>
              </w:rPr>
            </w:pPr>
            <w:r w:rsidRPr="00FC6B1A">
              <w:rPr>
                <w:rFonts w:ascii="Times New Roman" w:hAnsi="Times New Roman" w:cs="Times New Roman"/>
                <w:sz w:val="24"/>
                <w:szCs w:val="24"/>
              </w:rPr>
              <w:t>Riskide avaldumise tõenäosus projekti mõju saavutamise seisukohast on madal või maandatav kavandatud tegevuste abil.</w:t>
            </w:r>
          </w:p>
        </w:tc>
      </w:tr>
    </w:tbl>
    <w:p w14:paraId="4AC928FF" w14:textId="77777777" w:rsidR="00523558" w:rsidRPr="00151EB8" w:rsidRDefault="00523558" w:rsidP="00151EB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8"/>
        <w:gridCol w:w="8074"/>
      </w:tblGrid>
      <w:tr w:rsidR="00A62A58" w:rsidRPr="00151EB8" w14:paraId="22E3593D" w14:textId="77777777" w:rsidTr="00A62A58">
        <w:tc>
          <w:tcPr>
            <w:tcW w:w="9062" w:type="dxa"/>
            <w:gridSpan w:val="2"/>
            <w:shd w:val="clear" w:color="auto" w:fill="D9D9D9" w:themeFill="background1" w:themeFillShade="D9"/>
          </w:tcPr>
          <w:p w14:paraId="22369448" w14:textId="77777777" w:rsidR="00A62A58" w:rsidRPr="003D7A30" w:rsidRDefault="00A62A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 xml:space="preserve">Hindamiskriteerium 3: Projekti eelarve põhjendatus ja kvaliteet, kuluefektiivsus. </w:t>
            </w:r>
          </w:p>
        </w:tc>
      </w:tr>
      <w:tr w:rsidR="00A62A58" w:rsidRPr="00151EB8" w14:paraId="5439FAA1" w14:textId="77777777" w:rsidTr="00A62A58">
        <w:tc>
          <w:tcPr>
            <w:tcW w:w="9062" w:type="dxa"/>
            <w:gridSpan w:val="2"/>
            <w:shd w:val="clear" w:color="auto" w:fill="D9D9D9" w:themeFill="background1" w:themeFillShade="D9"/>
          </w:tcPr>
          <w:p w14:paraId="06E32CCA" w14:textId="77777777" w:rsidR="00A62A58" w:rsidRPr="003D7A30" w:rsidRDefault="00A62A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Osakaal koondhindest 25%.</w:t>
            </w:r>
          </w:p>
        </w:tc>
      </w:tr>
      <w:tr w:rsidR="00A62A58" w:rsidRPr="00151EB8" w14:paraId="62F82AAE" w14:textId="77777777" w:rsidTr="00A62A58">
        <w:tc>
          <w:tcPr>
            <w:tcW w:w="9062" w:type="dxa"/>
            <w:gridSpan w:val="2"/>
          </w:tcPr>
          <w:p w14:paraId="094CFB26" w14:textId="77777777" w:rsidR="00057FE5" w:rsidRDefault="00057FE5" w:rsidP="00151EB8">
            <w:pPr>
              <w:jc w:val="both"/>
              <w:rPr>
                <w:rFonts w:ascii="Times New Roman" w:hAnsi="Times New Roman" w:cs="Times New Roman"/>
                <w:b/>
                <w:sz w:val="24"/>
                <w:szCs w:val="24"/>
              </w:rPr>
            </w:pPr>
          </w:p>
          <w:p w14:paraId="4F50C3A3" w14:textId="1DC543E2" w:rsidR="000D0310" w:rsidRDefault="00182ED0" w:rsidP="00151EB8">
            <w:pPr>
              <w:jc w:val="both"/>
              <w:rPr>
                <w:rFonts w:ascii="Times New Roman" w:hAnsi="Times New Roman" w:cs="Times New Roman"/>
                <w:b/>
                <w:sz w:val="24"/>
                <w:szCs w:val="24"/>
              </w:rPr>
            </w:pPr>
            <w:r>
              <w:rPr>
                <w:rFonts w:ascii="Times New Roman" w:hAnsi="Times New Roman" w:cs="Times New Roman"/>
                <w:b/>
                <w:sz w:val="24"/>
                <w:szCs w:val="24"/>
              </w:rPr>
              <w:t>Hinnatakse:</w:t>
            </w:r>
          </w:p>
          <w:p w14:paraId="33C9EF66" w14:textId="1F2F3C89" w:rsidR="00182ED0" w:rsidRDefault="00155384" w:rsidP="00151EB8">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w:t>
            </w:r>
            <w:r w:rsidR="00182ED0">
              <w:rPr>
                <w:rFonts w:ascii="Times New Roman" w:hAnsi="Times New Roman" w:cs="Times New Roman"/>
                <w:sz w:val="24"/>
                <w:szCs w:val="24"/>
              </w:rPr>
              <w:t>eelarve põhjendatust ja kvaliteeti, kuluefektiivsust.</w:t>
            </w:r>
          </w:p>
          <w:p w14:paraId="063F6726" w14:textId="77777777" w:rsidR="00182ED0" w:rsidRDefault="00182ED0" w:rsidP="00151EB8">
            <w:pPr>
              <w:jc w:val="both"/>
              <w:rPr>
                <w:rFonts w:ascii="Times New Roman" w:hAnsi="Times New Roman" w:cs="Times New Roman"/>
                <w:b/>
                <w:sz w:val="24"/>
                <w:szCs w:val="24"/>
              </w:rPr>
            </w:pPr>
          </w:p>
          <w:p w14:paraId="686E1330" w14:textId="18B1EA31" w:rsidR="00A62A58" w:rsidRDefault="00A62A58" w:rsidP="00151EB8">
            <w:pPr>
              <w:jc w:val="both"/>
              <w:rPr>
                <w:rFonts w:ascii="Times New Roman" w:hAnsi="Times New Roman" w:cs="Times New Roman"/>
                <w:sz w:val="24"/>
                <w:szCs w:val="24"/>
              </w:rPr>
            </w:pPr>
            <w:r w:rsidRPr="00151EB8">
              <w:rPr>
                <w:rFonts w:ascii="Times New Roman" w:hAnsi="Times New Roman" w:cs="Times New Roman"/>
                <w:b/>
                <w:sz w:val="24"/>
                <w:szCs w:val="24"/>
              </w:rPr>
              <w:t xml:space="preserve">Hindamisel arvestatakse </w:t>
            </w:r>
            <w:r w:rsidR="00155384">
              <w:rPr>
                <w:rFonts w:ascii="Times New Roman" w:hAnsi="Times New Roman" w:cs="Times New Roman"/>
                <w:b/>
                <w:sz w:val="24"/>
                <w:szCs w:val="24"/>
              </w:rPr>
              <w:t xml:space="preserve">maakondliku tähtsusega või piirkondliku koostööprojekti puhul </w:t>
            </w:r>
            <w:r w:rsidRPr="00151EB8">
              <w:rPr>
                <w:rFonts w:ascii="Times New Roman" w:hAnsi="Times New Roman" w:cs="Times New Roman"/>
                <w:b/>
                <w:sz w:val="24"/>
                <w:szCs w:val="24"/>
              </w:rPr>
              <w:t>järgmiseid aspekte</w:t>
            </w:r>
            <w:r w:rsidRPr="00151EB8">
              <w:rPr>
                <w:rFonts w:ascii="Times New Roman" w:hAnsi="Times New Roman" w:cs="Times New Roman"/>
                <w:sz w:val="24"/>
                <w:szCs w:val="24"/>
              </w:rPr>
              <w:t xml:space="preserve">: </w:t>
            </w:r>
          </w:p>
          <w:p w14:paraId="3E90ED2C" w14:textId="22D53AE6" w:rsidR="00276325" w:rsidRDefault="00276325" w:rsidP="00697842">
            <w:pPr>
              <w:pStyle w:val="ListParagraph"/>
              <w:jc w:val="both"/>
              <w:rPr>
                <w:rFonts w:ascii="Times New Roman" w:hAnsi="Times New Roman" w:cs="Times New Roman"/>
                <w:sz w:val="24"/>
                <w:szCs w:val="24"/>
              </w:rPr>
            </w:pPr>
          </w:p>
          <w:p w14:paraId="61E30382" w14:textId="05D6BA61" w:rsidR="00A62A58" w:rsidRPr="000D0310" w:rsidRDefault="00A62A58" w:rsidP="000D0310">
            <w:pPr>
              <w:pStyle w:val="ListParagraph"/>
              <w:numPr>
                <w:ilvl w:val="0"/>
                <w:numId w:val="1"/>
              </w:numPr>
              <w:jc w:val="both"/>
              <w:rPr>
                <w:rFonts w:ascii="Times New Roman" w:hAnsi="Times New Roman" w:cs="Times New Roman"/>
                <w:sz w:val="24"/>
                <w:szCs w:val="24"/>
              </w:rPr>
            </w:pPr>
            <w:r w:rsidRPr="000D0310">
              <w:rPr>
                <w:rFonts w:ascii="Times New Roman" w:hAnsi="Times New Roman" w:cs="Times New Roman"/>
                <w:sz w:val="24"/>
                <w:szCs w:val="24"/>
              </w:rPr>
              <w:t>Kuivõrd põhjendatud ja optimaalne on projekti eelarve tegevuste</w:t>
            </w:r>
            <w:r w:rsidR="00182ED0">
              <w:rPr>
                <w:rFonts w:ascii="Times New Roman" w:hAnsi="Times New Roman" w:cs="Times New Roman"/>
                <w:sz w:val="24"/>
                <w:szCs w:val="24"/>
              </w:rPr>
              <w:t xml:space="preserve"> ja terviklahenduste </w:t>
            </w:r>
            <w:r w:rsidRPr="000D0310">
              <w:rPr>
                <w:rFonts w:ascii="Times New Roman" w:hAnsi="Times New Roman" w:cs="Times New Roman"/>
                <w:sz w:val="24"/>
                <w:szCs w:val="24"/>
              </w:rPr>
              <w:t xml:space="preserve"> elluviimiseks ja oodatavate tulemuste saavutamiseks. </w:t>
            </w:r>
          </w:p>
          <w:p w14:paraId="5D0A81B8" w14:textId="1F43715E" w:rsidR="00A62A58" w:rsidRPr="000D0310" w:rsidRDefault="00A62A58" w:rsidP="000D0310">
            <w:pPr>
              <w:pStyle w:val="ListParagraph"/>
              <w:numPr>
                <w:ilvl w:val="0"/>
                <w:numId w:val="1"/>
              </w:numPr>
              <w:jc w:val="both"/>
              <w:rPr>
                <w:rFonts w:ascii="Times New Roman" w:hAnsi="Times New Roman" w:cs="Times New Roman"/>
                <w:sz w:val="24"/>
                <w:szCs w:val="24"/>
              </w:rPr>
            </w:pPr>
            <w:r w:rsidRPr="000D0310">
              <w:rPr>
                <w:rFonts w:ascii="Times New Roman" w:hAnsi="Times New Roman" w:cs="Times New Roman"/>
                <w:sz w:val="24"/>
                <w:szCs w:val="24"/>
              </w:rPr>
              <w:t>K</w:t>
            </w:r>
            <w:r w:rsidR="00155384">
              <w:rPr>
                <w:rFonts w:ascii="Times New Roman" w:hAnsi="Times New Roman" w:cs="Times New Roman"/>
                <w:sz w:val="24"/>
                <w:szCs w:val="24"/>
              </w:rPr>
              <w:t>uivõrd</w:t>
            </w:r>
            <w:r w:rsidRPr="000D0310">
              <w:rPr>
                <w:rFonts w:ascii="Times New Roman" w:hAnsi="Times New Roman" w:cs="Times New Roman"/>
                <w:sz w:val="24"/>
                <w:szCs w:val="24"/>
              </w:rPr>
              <w:t xml:space="preserve"> taotluses toodud eelarve on läbipaistev ja detailne. </w:t>
            </w:r>
          </w:p>
          <w:p w14:paraId="771F5478" w14:textId="77777777" w:rsidR="00A62A58" w:rsidRPr="000D0310" w:rsidRDefault="00A62A58" w:rsidP="000D0310">
            <w:pPr>
              <w:pStyle w:val="ListParagraph"/>
              <w:numPr>
                <w:ilvl w:val="0"/>
                <w:numId w:val="1"/>
              </w:numPr>
              <w:jc w:val="both"/>
              <w:rPr>
                <w:rFonts w:ascii="Times New Roman" w:hAnsi="Times New Roman" w:cs="Times New Roman"/>
                <w:sz w:val="24"/>
                <w:szCs w:val="24"/>
              </w:rPr>
            </w:pPr>
            <w:r w:rsidRPr="000D0310">
              <w:rPr>
                <w:rFonts w:ascii="Times New Roman" w:hAnsi="Times New Roman" w:cs="Times New Roman"/>
                <w:sz w:val="24"/>
                <w:szCs w:val="24"/>
              </w:rPr>
              <w:t xml:space="preserve">Kuivõrd kuluefektiivne on projekti eelarve - projekti eelarve vastavus turuhindadele. </w:t>
            </w:r>
          </w:p>
          <w:p w14:paraId="07F87DA0" w14:textId="7960D5F2" w:rsidR="00A62A58" w:rsidRPr="000D0310" w:rsidRDefault="00A62A58" w:rsidP="000D0310">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K</w:t>
            </w:r>
            <w:r w:rsidR="00155384">
              <w:rPr>
                <w:rFonts w:ascii="Times New Roman" w:hAnsi="Times New Roman" w:cs="Times New Roman"/>
                <w:sz w:val="24"/>
                <w:szCs w:val="24"/>
              </w:rPr>
              <w:t>uivõrd</w:t>
            </w:r>
            <w:r w:rsidRPr="000D0310">
              <w:rPr>
                <w:rFonts w:ascii="Times New Roman" w:hAnsi="Times New Roman" w:cs="Times New Roman"/>
                <w:sz w:val="24"/>
                <w:szCs w:val="24"/>
              </w:rPr>
              <w:t xml:space="preserve"> projekti eelarves ettenähtud kulud on kõik projekt elluviimise seisukohast vajalikud (kuivõrd sisaldab projekti eelarve põhjendamatuid või ebamõistlikke kulusid)</w:t>
            </w:r>
          </w:p>
        </w:tc>
      </w:tr>
      <w:tr w:rsidR="00A62A58" w:rsidRPr="00151EB8" w14:paraId="637FF2F3" w14:textId="77777777" w:rsidTr="00A62A58">
        <w:tc>
          <w:tcPr>
            <w:tcW w:w="988" w:type="dxa"/>
          </w:tcPr>
          <w:p w14:paraId="658A40F5"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Hinne</w:t>
            </w:r>
          </w:p>
        </w:tc>
        <w:tc>
          <w:tcPr>
            <w:tcW w:w="8074" w:type="dxa"/>
          </w:tcPr>
          <w:p w14:paraId="03EAD87D"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Taseme kirjeldus</w:t>
            </w:r>
          </w:p>
        </w:tc>
      </w:tr>
      <w:tr w:rsidR="00A62A58" w:rsidRPr="00151EB8" w14:paraId="12AC9582" w14:textId="77777777" w:rsidTr="00A62A58">
        <w:tc>
          <w:tcPr>
            <w:tcW w:w="988" w:type="dxa"/>
          </w:tcPr>
          <w:p w14:paraId="3E982F51"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0</w:t>
            </w:r>
          </w:p>
        </w:tc>
        <w:tc>
          <w:tcPr>
            <w:tcW w:w="8074" w:type="dxa"/>
          </w:tcPr>
          <w:p w14:paraId="6F5C0480" w14:textId="24F27AC6" w:rsidR="000D0310" w:rsidRP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 xml:space="preserve">Taotluses toodud projekti eelarve ei ole läbipaistev ja toetatavateks tegevusteks planeeritud kulud ei ole piisavalt põhjendatud. </w:t>
            </w:r>
          </w:p>
          <w:p w14:paraId="382586AE" w14:textId="77777777" w:rsidR="00A62A58" w:rsidRP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Enamus taotluse eelarves välja toodud kulusid on reaalsest turuhinnast selgelt üle- või alahinnatud ja toetuse kasutamine ei ole efektiivne.</w:t>
            </w:r>
          </w:p>
        </w:tc>
      </w:tr>
      <w:tr w:rsidR="00A62A58" w:rsidRPr="00151EB8" w14:paraId="00563BDB" w14:textId="77777777" w:rsidTr="00A62A58">
        <w:tc>
          <w:tcPr>
            <w:tcW w:w="988" w:type="dxa"/>
          </w:tcPr>
          <w:p w14:paraId="01F05CF8"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1</w:t>
            </w:r>
          </w:p>
        </w:tc>
        <w:tc>
          <w:tcPr>
            <w:tcW w:w="8074" w:type="dxa"/>
          </w:tcPr>
          <w:p w14:paraId="7D2B472B" w14:textId="77777777" w:rsidR="00A62A58" w:rsidRPr="00697842" w:rsidRDefault="000D0310" w:rsidP="00697842">
            <w:pPr>
              <w:jc w:val="both"/>
              <w:rPr>
                <w:rFonts w:ascii="Times New Roman" w:hAnsi="Times New Roman" w:cs="Times New Roman"/>
                <w:sz w:val="24"/>
                <w:szCs w:val="24"/>
              </w:rPr>
            </w:pPr>
            <w:r w:rsidRPr="00697842">
              <w:rPr>
                <w:rFonts w:ascii="Times New Roman" w:hAnsi="Times New Roman" w:cs="Times New Roman"/>
                <w:sz w:val="24"/>
                <w:szCs w:val="24"/>
              </w:rPr>
              <w:t xml:space="preserve">Vahepealne tase </w:t>
            </w:r>
          </w:p>
        </w:tc>
      </w:tr>
      <w:tr w:rsidR="00A62A58" w:rsidRPr="00151EB8" w14:paraId="08E1F5D0" w14:textId="77777777" w:rsidTr="00A62A58">
        <w:tc>
          <w:tcPr>
            <w:tcW w:w="988" w:type="dxa"/>
          </w:tcPr>
          <w:p w14:paraId="0742F516"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2</w:t>
            </w:r>
          </w:p>
        </w:tc>
        <w:tc>
          <w:tcPr>
            <w:tcW w:w="8074" w:type="dxa"/>
          </w:tcPr>
          <w:p w14:paraId="2EC10D22" w14:textId="37AB0DA5" w:rsidR="000D0310" w:rsidRP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 xml:space="preserve">Taotluses toodud projekti eelarve on </w:t>
            </w:r>
            <w:r w:rsidR="00276325" w:rsidRPr="00697842">
              <w:rPr>
                <w:rFonts w:ascii="Times New Roman" w:hAnsi="Times New Roman" w:cs="Times New Roman"/>
                <w:sz w:val="24"/>
                <w:szCs w:val="24"/>
              </w:rPr>
              <w:t xml:space="preserve">üldjoontes </w:t>
            </w:r>
            <w:r w:rsidRPr="00697842">
              <w:rPr>
                <w:rFonts w:ascii="Times New Roman" w:hAnsi="Times New Roman" w:cs="Times New Roman"/>
                <w:sz w:val="24"/>
                <w:szCs w:val="24"/>
              </w:rPr>
              <w:t xml:space="preserve">selge, kuid tegevusteks planeeritud kulud ei ole nende elluviimiseks optimaalsed ja on osaliselt põhjendamata. </w:t>
            </w:r>
          </w:p>
          <w:p w14:paraId="3F21A5C9" w14:textId="293C3D02" w:rsidR="00A62A58" w:rsidRP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Enamus taotluse eelarves välja toodud kulusid vastavad</w:t>
            </w:r>
            <w:r w:rsidR="003D7A30" w:rsidRPr="00697842">
              <w:rPr>
                <w:rFonts w:ascii="Times New Roman" w:hAnsi="Times New Roman" w:cs="Times New Roman"/>
                <w:sz w:val="24"/>
                <w:szCs w:val="24"/>
              </w:rPr>
              <w:t xml:space="preserve"> reaalsele turuhinnale, kuid</w:t>
            </w:r>
            <w:r w:rsidRPr="00697842">
              <w:rPr>
                <w:rFonts w:ascii="Times New Roman" w:hAnsi="Times New Roman" w:cs="Times New Roman"/>
                <w:sz w:val="24"/>
                <w:szCs w:val="24"/>
              </w:rPr>
              <w:t xml:space="preserve"> t</w:t>
            </w:r>
            <w:r w:rsidR="003D7A30" w:rsidRPr="00697842">
              <w:rPr>
                <w:rFonts w:ascii="Times New Roman" w:hAnsi="Times New Roman" w:cs="Times New Roman"/>
                <w:sz w:val="24"/>
                <w:szCs w:val="24"/>
              </w:rPr>
              <w:t xml:space="preserve">oetuse kasutamine </w:t>
            </w:r>
            <w:r w:rsidR="00276325" w:rsidRPr="00697842">
              <w:rPr>
                <w:rFonts w:ascii="Times New Roman" w:hAnsi="Times New Roman" w:cs="Times New Roman"/>
                <w:sz w:val="24"/>
                <w:szCs w:val="24"/>
              </w:rPr>
              <w:t xml:space="preserve">on vähe </w:t>
            </w:r>
            <w:r w:rsidR="00697842">
              <w:rPr>
                <w:rFonts w:ascii="Times New Roman" w:hAnsi="Times New Roman" w:cs="Times New Roman"/>
                <w:sz w:val="24"/>
                <w:szCs w:val="24"/>
              </w:rPr>
              <w:t>efektiivne</w:t>
            </w:r>
            <w:r w:rsidR="003D7A30" w:rsidRPr="00697842">
              <w:rPr>
                <w:rFonts w:ascii="Times New Roman" w:hAnsi="Times New Roman" w:cs="Times New Roman"/>
                <w:sz w:val="24"/>
                <w:szCs w:val="24"/>
              </w:rPr>
              <w:t>.</w:t>
            </w:r>
          </w:p>
        </w:tc>
      </w:tr>
      <w:tr w:rsidR="00A62A58" w:rsidRPr="00151EB8" w14:paraId="16CDDA30" w14:textId="77777777" w:rsidTr="00A62A58">
        <w:tc>
          <w:tcPr>
            <w:tcW w:w="988" w:type="dxa"/>
          </w:tcPr>
          <w:p w14:paraId="5F9FEA01"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3</w:t>
            </w:r>
          </w:p>
        </w:tc>
        <w:tc>
          <w:tcPr>
            <w:tcW w:w="8074" w:type="dxa"/>
          </w:tcPr>
          <w:p w14:paraId="14E1001B" w14:textId="77777777" w:rsidR="00A62A58" w:rsidRPr="00697842" w:rsidRDefault="000D0310" w:rsidP="00697842">
            <w:pPr>
              <w:jc w:val="both"/>
              <w:rPr>
                <w:rFonts w:ascii="Times New Roman" w:hAnsi="Times New Roman" w:cs="Times New Roman"/>
                <w:sz w:val="24"/>
                <w:szCs w:val="24"/>
              </w:rPr>
            </w:pPr>
            <w:r w:rsidRPr="00697842">
              <w:rPr>
                <w:rFonts w:ascii="Times New Roman" w:hAnsi="Times New Roman" w:cs="Times New Roman"/>
                <w:sz w:val="24"/>
                <w:szCs w:val="24"/>
              </w:rPr>
              <w:t xml:space="preserve">Vahepealne tase </w:t>
            </w:r>
          </w:p>
        </w:tc>
      </w:tr>
      <w:tr w:rsidR="00A62A58" w:rsidRPr="00151EB8" w14:paraId="3AD278D2" w14:textId="77777777" w:rsidTr="00A62A58">
        <w:tc>
          <w:tcPr>
            <w:tcW w:w="988" w:type="dxa"/>
          </w:tcPr>
          <w:p w14:paraId="723816C3" w14:textId="77777777" w:rsidR="00A62A58" w:rsidRPr="00151EB8" w:rsidRDefault="00A62A58" w:rsidP="00151EB8">
            <w:pPr>
              <w:jc w:val="both"/>
              <w:rPr>
                <w:rFonts w:ascii="Times New Roman" w:hAnsi="Times New Roman" w:cs="Times New Roman"/>
                <w:sz w:val="24"/>
                <w:szCs w:val="24"/>
              </w:rPr>
            </w:pPr>
            <w:r w:rsidRPr="00151EB8">
              <w:rPr>
                <w:rFonts w:ascii="Times New Roman" w:hAnsi="Times New Roman" w:cs="Times New Roman"/>
                <w:sz w:val="24"/>
                <w:szCs w:val="24"/>
              </w:rPr>
              <w:t>4</w:t>
            </w:r>
          </w:p>
        </w:tc>
        <w:tc>
          <w:tcPr>
            <w:tcW w:w="8074" w:type="dxa"/>
          </w:tcPr>
          <w:p w14:paraId="3919D7FF" w14:textId="77777777" w:rsid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 xml:space="preserve">Taotluses toodud projekti eelarve on detailne, kõik tegevusteks planeeritud kulud on optimaalsed ja efektiivsed ning projekti elluviimise seisukohast põhjendatud. </w:t>
            </w:r>
          </w:p>
          <w:p w14:paraId="6CCE20F0" w14:textId="2392401E" w:rsidR="00A62A58" w:rsidRPr="00697842" w:rsidRDefault="008F5346" w:rsidP="00697842">
            <w:pPr>
              <w:pStyle w:val="ListParagraph"/>
              <w:numPr>
                <w:ilvl w:val="0"/>
                <w:numId w:val="23"/>
              </w:numPr>
              <w:jc w:val="both"/>
              <w:rPr>
                <w:rFonts w:ascii="Times New Roman" w:hAnsi="Times New Roman" w:cs="Times New Roman"/>
                <w:sz w:val="24"/>
                <w:szCs w:val="24"/>
              </w:rPr>
            </w:pPr>
            <w:r w:rsidRPr="00697842">
              <w:rPr>
                <w:rFonts w:ascii="Times New Roman" w:hAnsi="Times New Roman" w:cs="Times New Roman"/>
                <w:sz w:val="24"/>
                <w:szCs w:val="24"/>
              </w:rPr>
              <w:t>Kõik taotluse eelarves välja toodud kulud vastavad ligikaudu reaalsele turuhinnale ja toetus</w:t>
            </w:r>
            <w:r w:rsidR="0057571E">
              <w:rPr>
                <w:rFonts w:ascii="Times New Roman" w:hAnsi="Times New Roman" w:cs="Times New Roman"/>
                <w:sz w:val="24"/>
                <w:szCs w:val="24"/>
              </w:rPr>
              <w:t xml:space="preserve">e kasutamine on </w:t>
            </w:r>
            <w:r w:rsidRPr="00697842">
              <w:rPr>
                <w:rFonts w:ascii="Times New Roman" w:hAnsi="Times New Roman" w:cs="Times New Roman"/>
                <w:sz w:val="24"/>
                <w:szCs w:val="24"/>
              </w:rPr>
              <w:t>efektiivne.</w:t>
            </w:r>
          </w:p>
        </w:tc>
      </w:tr>
    </w:tbl>
    <w:p w14:paraId="3771DDD7" w14:textId="77777777" w:rsidR="00A62A58" w:rsidRPr="00151EB8" w:rsidRDefault="00A62A58" w:rsidP="00151EB8">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7933"/>
      </w:tblGrid>
      <w:tr w:rsidR="00A62A58" w:rsidRPr="00151EB8" w14:paraId="26A2E7B8" w14:textId="77777777" w:rsidTr="001968A3">
        <w:tc>
          <w:tcPr>
            <w:tcW w:w="9062" w:type="dxa"/>
            <w:gridSpan w:val="2"/>
            <w:shd w:val="clear" w:color="auto" w:fill="D9D9D9" w:themeFill="background1" w:themeFillShade="D9"/>
          </w:tcPr>
          <w:p w14:paraId="26585ADF" w14:textId="77777777" w:rsidR="00A62A58" w:rsidRPr="003D7A30" w:rsidRDefault="00A62A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lastRenderedPageBreak/>
              <w:t>Hindamiskriteerium 4: Projekti teostatavus ja kindlustatus ressurssidega</w:t>
            </w:r>
          </w:p>
        </w:tc>
      </w:tr>
      <w:tr w:rsidR="00A62A58" w:rsidRPr="00151EB8" w14:paraId="671DC21F" w14:textId="77777777" w:rsidTr="001968A3">
        <w:tc>
          <w:tcPr>
            <w:tcW w:w="9062" w:type="dxa"/>
            <w:gridSpan w:val="2"/>
            <w:shd w:val="clear" w:color="auto" w:fill="D9D9D9" w:themeFill="background1" w:themeFillShade="D9"/>
          </w:tcPr>
          <w:p w14:paraId="52A034FD" w14:textId="77777777" w:rsidR="00A62A58" w:rsidRPr="003D7A30" w:rsidRDefault="00A62A58" w:rsidP="003D7A30">
            <w:pPr>
              <w:spacing w:before="120" w:after="120"/>
              <w:jc w:val="both"/>
              <w:rPr>
                <w:rFonts w:ascii="Times New Roman" w:hAnsi="Times New Roman" w:cs="Times New Roman"/>
                <w:sz w:val="24"/>
                <w:szCs w:val="24"/>
              </w:rPr>
            </w:pPr>
            <w:r w:rsidRPr="003D7A30">
              <w:rPr>
                <w:rFonts w:ascii="Times New Roman" w:hAnsi="Times New Roman" w:cs="Times New Roman"/>
                <w:sz w:val="24"/>
                <w:szCs w:val="24"/>
              </w:rPr>
              <w:t>Osakaal koondhindest 15%.</w:t>
            </w:r>
          </w:p>
        </w:tc>
      </w:tr>
      <w:tr w:rsidR="00A62A58" w:rsidRPr="00151EB8" w14:paraId="2F6F874B" w14:textId="77777777" w:rsidTr="00A62A58">
        <w:tc>
          <w:tcPr>
            <w:tcW w:w="9062" w:type="dxa"/>
            <w:gridSpan w:val="2"/>
          </w:tcPr>
          <w:p w14:paraId="7BAD14E5" w14:textId="77777777" w:rsidR="000D0310" w:rsidRDefault="000D0310" w:rsidP="00151EB8">
            <w:pPr>
              <w:jc w:val="both"/>
              <w:rPr>
                <w:rFonts w:ascii="Times New Roman" w:hAnsi="Times New Roman" w:cs="Times New Roman"/>
                <w:b/>
                <w:sz w:val="24"/>
                <w:szCs w:val="24"/>
              </w:rPr>
            </w:pPr>
          </w:p>
          <w:p w14:paraId="3A079C23" w14:textId="77777777" w:rsidR="000D0310" w:rsidRDefault="001968A3" w:rsidP="00151EB8">
            <w:pPr>
              <w:jc w:val="both"/>
              <w:rPr>
                <w:rFonts w:ascii="Times New Roman" w:hAnsi="Times New Roman" w:cs="Times New Roman"/>
                <w:sz w:val="24"/>
                <w:szCs w:val="24"/>
              </w:rPr>
            </w:pPr>
            <w:r w:rsidRPr="00151EB8">
              <w:rPr>
                <w:rFonts w:ascii="Times New Roman" w:hAnsi="Times New Roman" w:cs="Times New Roman"/>
                <w:b/>
                <w:sz w:val="24"/>
                <w:szCs w:val="24"/>
              </w:rPr>
              <w:t>Hinnatakse:</w:t>
            </w:r>
            <w:r w:rsidRPr="00151EB8">
              <w:rPr>
                <w:rFonts w:ascii="Times New Roman" w:hAnsi="Times New Roman" w:cs="Times New Roman"/>
                <w:sz w:val="24"/>
                <w:szCs w:val="24"/>
              </w:rPr>
              <w:t xml:space="preserve"> </w:t>
            </w:r>
          </w:p>
          <w:p w14:paraId="50FDC9CC" w14:textId="7CFB6861" w:rsidR="001968A3" w:rsidRPr="00151EB8" w:rsidRDefault="00155384" w:rsidP="00151EB8">
            <w:pPr>
              <w:jc w:val="both"/>
              <w:rPr>
                <w:rFonts w:ascii="Times New Roman" w:hAnsi="Times New Roman" w:cs="Times New Roman"/>
                <w:sz w:val="24"/>
                <w:szCs w:val="24"/>
              </w:rPr>
            </w:pPr>
            <w:r>
              <w:rPr>
                <w:rFonts w:ascii="Times New Roman" w:hAnsi="Times New Roman" w:cs="Times New Roman"/>
                <w:sz w:val="24"/>
                <w:szCs w:val="24"/>
              </w:rPr>
              <w:t>M</w:t>
            </w:r>
            <w:r w:rsidRPr="003E4B75">
              <w:rPr>
                <w:rFonts w:ascii="Times New Roman" w:hAnsi="Times New Roman" w:cs="Times New Roman"/>
                <w:sz w:val="24"/>
                <w:szCs w:val="24"/>
              </w:rPr>
              <w:t>aakondliku tähtsusega projekti (</w:t>
            </w:r>
            <w:r w:rsidRPr="00FC1A64">
              <w:rPr>
                <w:rFonts w:ascii="Times New Roman" w:hAnsi="Times New Roman" w:cs="Times New Roman"/>
                <w:sz w:val="24"/>
                <w:szCs w:val="24"/>
              </w:rPr>
              <w:t>mille mõju avaldub terves maakonnas või Harju maakonna ja Ida-Viru maakonna</w:t>
            </w:r>
            <w:r>
              <w:rPr>
                <w:rFonts w:ascii="Times New Roman" w:hAnsi="Times New Roman" w:cs="Times New Roman"/>
                <w:sz w:val="24"/>
                <w:szCs w:val="24"/>
              </w:rPr>
              <w:t xml:space="preserve"> </w:t>
            </w:r>
            <w:r w:rsidRPr="00FC1A64">
              <w:rPr>
                <w:rFonts w:ascii="Times New Roman" w:hAnsi="Times New Roman" w:cs="Times New Roman"/>
                <w:sz w:val="24"/>
                <w:szCs w:val="24"/>
              </w:rPr>
              <w:t>puhul vähemalt viie KOV üksuse ulatuses)</w:t>
            </w:r>
            <w:r w:rsidRPr="00555018">
              <w:rPr>
                <w:rFonts w:ascii="Times New Roman" w:hAnsi="Times New Roman" w:cs="Times New Roman"/>
                <w:sz w:val="24"/>
                <w:szCs w:val="24"/>
              </w:rPr>
              <w:t xml:space="preserve"> või </w:t>
            </w:r>
            <w:r>
              <w:rPr>
                <w:rFonts w:ascii="Times New Roman" w:hAnsi="Times New Roman" w:cs="Times New Roman"/>
                <w:sz w:val="24"/>
                <w:szCs w:val="24"/>
              </w:rPr>
              <w:t xml:space="preserve">mitut maakonda hõlmava </w:t>
            </w:r>
            <w:r w:rsidRPr="00555018">
              <w:rPr>
                <w:rFonts w:ascii="Times New Roman" w:hAnsi="Times New Roman" w:cs="Times New Roman"/>
                <w:sz w:val="24"/>
                <w:szCs w:val="24"/>
              </w:rPr>
              <w:t>piirkondliku koostööprojekti</w:t>
            </w:r>
            <w:r>
              <w:rPr>
                <w:rFonts w:ascii="Times New Roman" w:hAnsi="Times New Roman" w:cs="Times New Roman"/>
                <w:sz w:val="24"/>
                <w:szCs w:val="24"/>
              </w:rPr>
              <w:t xml:space="preserve"> puhul t</w:t>
            </w:r>
            <w:r w:rsidR="001968A3" w:rsidRPr="00151EB8">
              <w:rPr>
                <w:rFonts w:ascii="Times New Roman" w:hAnsi="Times New Roman" w:cs="Times New Roman"/>
                <w:sz w:val="24"/>
                <w:szCs w:val="24"/>
              </w:rPr>
              <w:t xml:space="preserve">aotleja finantsvõimekust, finantsriskide esinemise tõenäosust, projekti meeskonna olemasolu ja kompetentse. </w:t>
            </w:r>
          </w:p>
          <w:p w14:paraId="33338435" w14:textId="77777777" w:rsidR="001968A3" w:rsidRPr="00151EB8" w:rsidRDefault="001968A3" w:rsidP="00151EB8">
            <w:pPr>
              <w:jc w:val="both"/>
              <w:rPr>
                <w:rFonts w:ascii="Times New Roman" w:hAnsi="Times New Roman" w:cs="Times New Roman"/>
                <w:sz w:val="24"/>
                <w:szCs w:val="24"/>
              </w:rPr>
            </w:pPr>
          </w:p>
          <w:p w14:paraId="5A63AAB6" w14:textId="5DDF052D"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b/>
                <w:sz w:val="24"/>
                <w:szCs w:val="24"/>
              </w:rPr>
              <w:t xml:space="preserve">Hindamisel arvestatakse </w:t>
            </w:r>
            <w:r w:rsidR="00155384">
              <w:rPr>
                <w:rFonts w:ascii="Times New Roman" w:hAnsi="Times New Roman" w:cs="Times New Roman"/>
                <w:b/>
                <w:sz w:val="24"/>
                <w:szCs w:val="24"/>
              </w:rPr>
              <w:t xml:space="preserve">maakondliku tähtsusega või piirkondliku koostööprojekti puhul </w:t>
            </w:r>
            <w:r w:rsidRPr="00151EB8">
              <w:rPr>
                <w:rFonts w:ascii="Times New Roman" w:hAnsi="Times New Roman" w:cs="Times New Roman"/>
                <w:b/>
                <w:sz w:val="24"/>
                <w:szCs w:val="24"/>
              </w:rPr>
              <w:t>järgmiseid aspekte</w:t>
            </w:r>
            <w:r w:rsidRPr="00151EB8">
              <w:rPr>
                <w:rFonts w:ascii="Times New Roman" w:hAnsi="Times New Roman" w:cs="Times New Roman"/>
                <w:sz w:val="24"/>
                <w:szCs w:val="24"/>
              </w:rPr>
              <w:t xml:space="preserve">: </w:t>
            </w:r>
          </w:p>
          <w:p w14:paraId="432F03E5" w14:textId="355F18F6" w:rsidR="00276325" w:rsidRDefault="00276325" w:rsidP="00276325">
            <w:pPr>
              <w:pStyle w:val="ListParagraph"/>
              <w:numPr>
                <w:ilvl w:val="0"/>
                <w:numId w:val="2"/>
              </w:numPr>
              <w:jc w:val="both"/>
              <w:rPr>
                <w:rFonts w:ascii="Times New Roman" w:hAnsi="Times New Roman" w:cs="Times New Roman"/>
                <w:sz w:val="24"/>
                <w:szCs w:val="24"/>
              </w:rPr>
            </w:pPr>
            <w:r w:rsidRPr="006C530D">
              <w:rPr>
                <w:rFonts w:ascii="Times New Roman" w:hAnsi="Times New Roman" w:cs="Times New Roman"/>
                <w:sz w:val="24"/>
                <w:szCs w:val="24"/>
              </w:rPr>
              <w:t>Kuivõrd on projekti elluviimise ajakava realistlik ja arvestab võimalike viivitustega elluviimise erinevates etappides</w:t>
            </w:r>
            <w:r>
              <w:rPr>
                <w:rFonts w:ascii="Times New Roman" w:hAnsi="Times New Roman" w:cs="Times New Roman"/>
                <w:sz w:val="24"/>
                <w:szCs w:val="24"/>
              </w:rPr>
              <w:t>.</w:t>
            </w:r>
          </w:p>
          <w:p w14:paraId="3C98F091" w14:textId="77777777" w:rsidR="001968A3" w:rsidRPr="000D0310" w:rsidRDefault="001968A3" w:rsidP="00276325">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 xml:space="preserve">Milline on taotleja finantsvõimekus ning kas projekti elluviimiseks vajalik omafinantseering on tagatud (sh vajalik lisanduv likviidsus tegevuste elluviimisel) ja selle kohta kinnitused esitatud. Juhul kui kaasatakse väliseid finantseerimisvõimalusi, siis kas nende saamine on realistlik ja tõendatud. </w:t>
            </w:r>
          </w:p>
          <w:p w14:paraId="5251CC75" w14:textId="77777777" w:rsidR="001968A3" w:rsidRPr="000D0310" w:rsidRDefault="001968A3" w:rsidP="00276325">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 xml:space="preserve">Milline on finantsriskide esinemise tõenäosus. </w:t>
            </w:r>
          </w:p>
          <w:p w14:paraId="271D7FEB" w14:textId="77777777" w:rsidR="001968A3" w:rsidRPr="000D0310" w:rsidRDefault="001968A3" w:rsidP="00276325">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 xml:space="preserve">Juhul kui objekti terviklik väljaarendamine sisaldab meetme tingimustele mittevastavaid tegevusi või kulusid või eeldab partnerite täiendavaid investeeringuid, siis kas vajalikud partnerid on kaasatud ja katteallikad meetmest mittetoetatavate tegevuste osas on olemas. </w:t>
            </w:r>
          </w:p>
          <w:p w14:paraId="31C124ED" w14:textId="77777777" w:rsidR="001968A3" w:rsidRPr="000D0310" w:rsidRDefault="001968A3" w:rsidP="00276325">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 xml:space="preserve">Milline on projekti meeskonna võime projekti ellu viia (kuivõrd on projektijuhtimine organisatsiooniliselt kindlustatud, kas projektijuht ja –meeskonnaliikmed omavad vajalikku oskusteavet ja kogemusi projekti edukaks elluviimiseks või kas on kaasatud vajalikud eksperdid või oskusteave muul moel). </w:t>
            </w:r>
          </w:p>
          <w:p w14:paraId="59B267AC" w14:textId="253C82D0" w:rsidR="00A62A58" w:rsidRDefault="001968A3" w:rsidP="00276325">
            <w:pPr>
              <w:pStyle w:val="ListParagraph"/>
              <w:numPr>
                <w:ilvl w:val="0"/>
                <w:numId w:val="2"/>
              </w:numPr>
              <w:jc w:val="both"/>
              <w:rPr>
                <w:rFonts w:ascii="Times New Roman" w:hAnsi="Times New Roman" w:cs="Times New Roman"/>
                <w:sz w:val="24"/>
                <w:szCs w:val="24"/>
              </w:rPr>
            </w:pPr>
            <w:r w:rsidRPr="000D0310">
              <w:rPr>
                <w:rFonts w:ascii="Times New Roman" w:hAnsi="Times New Roman" w:cs="Times New Roman"/>
                <w:sz w:val="24"/>
                <w:szCs w:val="24"/>
              </w:rPr>
              <w:t>Kui projekti elluviimine eeldab partnerite kaasamist, siis kas vajalikud partnerid on kaasatud ning kuidas on kin</w:t>
            </w:r>
            <w:r w:rsidR="00C72672">
              <w:rPr>
                <w:rFonts w:ascii="Times New Roman" w:hAnsi="Times New Roman" w:cs="Times New Roman"/>
                <w:sz w:val="24"/>
                <w:szCs w:val="24"/>
              </w:rPr>
              <w:t>dlustatud partnerite koostöö (</w:t>
            </w:r>
            <w:r w:rsidRPr="000D0310">
              <w:rPr>
                <w:rFonts w:ascii="Times New Roman" w:hAnsi="Times New Roman" w:cs="Times New Roman"/>
                <w:sz w:val="24"/>
                <w:szCs w:val="24"/>
              </w:rPr>
              <w:t>kokkulepped koos kõigi osapoolte õiguste, kohustuste ja vastutusega).</w:t>
            </w:r>
          </w:p>
          <w:p w14:paraId="2C400794" w14:textId="77777777" w:rsidR="00973EFE" w:rsidRPr="000D0310" w:rsidRDefault="00973EFE" w:rsidP="00973EFE">
            <w:pPr>
              <w:pStyle w:val="ListParagraph"/>
              <w:jc w:val="both"/>
              <w:rPr>
                <w:rFonts w:ascii="Times New Roman" w:hAnsi="Times New Roman" w:cs="Times New Roman"/>
                <w:sz w:val="24"/>
                <w:szCs w:val="24"/>
              </w:rPr>
            </w:pPr>
          </w:p>
        </w:tc>
      </w:tr>
      <w:tr w:rsidR="001968A3" w:rsidRPr="00151EB8" w14:paraId="15A1E203" w14:textId="77777777" w:rsidTr="001968A3">
        <w:tc>
          <w:tcPr>
            <w:tcW w:w="1129" w:type="dxa"/>
          </w:tcPr>
          <w:p w14:paraId="64A60982"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Hinne</w:t>
            </w:r>
          </w:p>
        </w:tc>
        <w:tc>
          <w:tcPr>
            <w:tcW w:w="7933" w:type="dxa"/>
          </w:tcPr>
          <w:p w14:paraId="50C7A215"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Taseme kirjeldus</w:t>
            </w:r>
          </w:p>
        </w:tc>
      </w:tr>
      <w:tr w:rsidR="001968A3" w:rsidRPr="00151EB8" w14:paraId="3734A6C7" w14:textId="77777777" w:rsidTr="001968A3">
        <w:tc>
          <w:tcPr>
            <w:tcW w:w="1129" w:type="dxa"/>
          </w:tcPr>
          <w:p w14:paraId="7E685385"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0</w:t>
            </w:r>
          </w:p>
        </w:tc>
        <w:tc>
          <w:tcPr>
            <w:tcW w:w="7933" w:type="dxa"/>
          </w:tcPr>
          <w:p w14:paraId="7FCF2F58" w14:textId="77777777" w:rsidR="00A06E80" w:rsidRPr="00697842" w:rsidRDefault="00A06E80"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elluviimise võimekus ei ole tõendatud. </w:t>
            </w:r>
          </w:p>
          <w:p w14:paraId="564AB9EC" w14:textId="4A582CC4" w:rsidR="00276325" w:rsidRPr="00697842" w:rsidRDefault="00276325"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Projekti elluviimise ajakava ei ole realistlik ja ei arvestab võimalike viivitustega elluviimise erinevates etappides.</w:t>
            </w:r>
          </w:p>
          <w:p w14:paraId="03590BA2" w14:textId="77777777"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Taotleja finantsvõimekus ei ole piisav, et tagada projekti omafinantseerimine, taotlejal puuduvad võimalused täiendavate finantsvahendite kaasamiseks taotluses toodud tegevuste elluviimiseks. </w:t>
            </w:r>
          </w:p>
          <w:p w14:paraId="0698E99B" w14:textId="77777777"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meeskond on komplekteerimata. </w:t>
            </w:r>
          </w:p>
          <w:p w14:paraId="33469E53" w14:textId="0F21F070" w:rsidR="001968A3"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Vajalikud partnerid on kaasamata (kui projekti elluviimine eeldab partnerite kaasamist)</w:t>
            </w:r>
            <w:r w:rsidR="00276325" w:rsidRPr="00697842">
              <w:rPr>
                <w:rFonts w:ascii="Times New Roman" w:hAnsi="Times New Roman" w:cs="Times New Roman"/>
                <w:sz w:val="24"/>
                <w:szCs w:val="24"/>
              </w:rPr>
              <w:t xml:space="preserve"> ja koostöö on planeerimata</w:t>
            </w:r>
            <w:r w:rsidRPr="00697842">
              <w:rPr>
                <w:rFonts w:ascii="Times New Roman" w:hAnsi="Times New Roman" w:cs="Times New Roman"/>
                <w:sz w:val="24"/>
                <w:szCs w:val="24"/>
              </w:rPr>
              <w:t>.</w:t>
            </w:r>
          </w:p>
        </w:tc>
      </w:tr>
      <w:tr w:rsidR="001968A3" w:rsidRPr="00151EB8" w14:paraId="746292C5" w14:textId="77777777" w:rsidTr="001968A3">
        <w:tc>
          <w:tcPr>
            <w:tcW w:w="1129" w:type="dxa"/>
          </w:tcPr>
          <w:p w14:paraId="79EEE4D9"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1</w:t>
            </w:r>
          </w:p>
        </w:tc>
        <w:tc>
          <w:tcPr>
            <w:tcW w:w="7933" w:type="dxa"/>
          </w:tcPr>
          <w:p w14:paraId="5CCE60C0" w14:textId="77777777" w:rsidR="001968A3" w:rsidRPr="00697842" w:rsidRDefault="000D0310" w:rsidP="00697842">
            <w:pPr>
              <w:jc w:val="both"/>
              <w:rPr>
                <w:rFonts w:ascii="Times New Roman" w:hAnsi="Times New Roman" w:cs="Times New Roman"/>
                <w:sz w:val="24"/>
                <w:szCs w:val="24"/>
              </w:rPr>
            </w:pPr>
            <w:r w:rsidRPr="00697842">
              <w:rPr>
                <w:rFonts w:ascii="Times New Roman" w:hAnsi="Times New Roman" w:cs="Times New Roman"/>
                <w:sz w:val="24"/>
                <w:szCs w:val="24"/>
              </w:rPr>
              <w:t>Vahepealne tase</w:t>
            </w:r>
          </w:p>
        </w:tc>
      </w:tr>
      <w:tr w:rsidR="001968A3" w:rsidRPr="00151EB8" w14:paraId="333596D0" w14:textId="77777777" w:rsidTr="001968A3">
        <w:tc>
          <w:tcPr>
            <w:tcW w:w="1129" w:type="dxa"/>
          </w:tcPr>
          <w:p w14:paraId="04A5746D"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2</w:t>
            </w:r>
          </w:p>
        </w:tc>
        <w:tc>
          <w:tcPr>
            <w:tcW w:w="7933" w:type="dxa"/>
          </w:tcPr>
          <w:p w14:paraId="59A4E95C" w14:textId="77777777" w:rsidR="00A06E80" w:rsidRPr="00697842" w:rsidRDefault="00A06E80"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elluviimise võimekus on üldiselt keskpärane. </w:t>
            </w:r>
          </w:p>
          <w:p w14:paraId="2DF6474A" w14:textId="77777777" w:rsidR="00276325" w:rsidRPr="00697842" w:rsidRDefault="00276325"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Projekti elluviimise ajakava üldiselt realistlik, kuid ei arvesta täielikult võimalike viivitustega elluviimise erinevates etappides.</w:t>
            </w:r>
          </w:p>
          <w:p w14:paraId="5A701997" w14:textId="6CCBFC81"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Taotleja finantsvõimekus on </w:t>
            </w:r>
            <w:r w:rsidR="00276325" w:rsidRPr="00697842">
              <w:rPr>
                <w:rFonts w:ascii="Times New Roman" w:hAnsi="Times New Roman" w:cs="Times New Roman"/>
                <w:sz w:val="24"/>
                <w:szCs w:val="24"/>
              </w:rPr>
              <w:t xml:space="preserve">üldiselt </w:t>
            </w:r>
            <w:r w:rsidR="00697842">
              <w:rPr>
                <w:rFonts w:ascii="Times New Roman" w:hAnsi="Times New Roman" w:cs="Times New Roman"/>
                <w:sz w:val="24"/>
                <w:szCs w:val="24"/>
              </w:rPr>
              <w:t xml:space="preserve">piisav, </w:t>
            </w:r>
            <w:r w:rsidRPr="00697842">
              <w:rPr>
                <w:rFonts w:ascii="Times New Roman" w:hAnsi="Times New Roman" w:cs="Times New Roman"/>
                <w:sz w:val="24"/>
                <w:szCs w:val="24"/>
              </w:rPr>
              <w:t xml:space="preserve">et kindlustada taotluses toodud tegevuste omafinantseerimine. </w:t>
            </w:r>
          </w:p>
          <w:p w14:paraId="1992A534" w14:textId="6C092CFC"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lastRenderedPageBreak/>
              <w:t>Taotlejal on tõenäos</w:t>
            </w:r>
            <w:r w:rsidR="00276325" w:rsidRPr="00697842">
              <w:rPr>
                <w:rFonts w:ascii="Times New Roman" w:hAnsi="Times New Roman" w:cs="Times New Roman"/>
                <w:sz w:val="24"/>
                <w:szCs w:val="24"/>
              </w:rPr>
              <w:t>elt</w:t>
            </w:r>
            <w:r w:rsidRPr="00697842">
              <w:rPr>
                <w:rFonts w:ascii="Times New Roman" w:hAnsi="Times New Roman" w:cs="Times New Roman"/>
                <w:sz w:val="24"/>
                <w:szCs w:val="24"/>
              </w:rPr>
              <w:t xml:space="preserve"> võimalik kaasata täiendavaid finantsvahendeid taotluses toodud tegevuste elluviimiseks. </w:t>
            </w:r>
          </w:p>
          <w:p w14:paraId="6EBC8040" w14:textId="77777777"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meeskond on komplekteeritud ja/või teenusena sisse ostetud. </w:t>
            </w:r>
          </w:p>
          <w:p w14:paraId="50910445" w14:textId="47850A41"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meeskond on </w:t>
            </w:r>
            <w:r w:rsidR="00276325" w:rsidRPr="00697842">
              <w:rPr>
                <w:rFonts w:ascii="Times New Roman" w:hAnsi="Times New Roman" w:cs="Times New Roman"/>
                <w:sz w:val="24"/>
                <w:szCs w:val="24"/>
              </w:rPr>
              <w:t xml:space="preserve">üldiselt </w:t>
            </w:r>
            <w:r w:rsidRPr="00697842">
              <w:rPr>
                <w:rFonts w:ascii="Times New Roman" w:hAnsi="Times New Roman" w:cs="Times New Roman"/>
                <w:sz w:val="24"/>
                <w:szCs w:val="24"/>
              </w:rPr>
              <w:t>piisava suurusega projektis kavandatud tegevuste teostamiseks, kuid osad vajalikud valdkondlikud kompetentsid puuduvad ja/või vastutusvaldkonnad ei ole selgelt jaotatud</w:t>
            </w:r>
            <w:r w:rsidR="00697842">
              <w:rPr>
                <w:rFonts w:ascii="Times New Roman" w:hAnsi="Times New Roman" w:cs="Times New Roman"/>
                <w:sz w:val="24"/>
                <w:szCs w:val="24"/>
              </w:rPr>
              <w:t xml:space="preserve">, </w:t>
            </w:r>
            <w:r w:rsidR="00276325" w:rsidRPr="00697842">
              <w:rPr>
                <w:rFonts w:ascii="Times New Roman" w:hAnsi="Times New Roman" w:cs="Times New Roman"/>
                <w:sz w:val="24"/>
                <w:szCs w:val="24"/>
              </w:rPr>
              <w:t>vastutajad määramata</w:t>
            </w:r>
            <w:r w:rsidRPr="00697842">
              <w:rPr>
                <w:rFonts w:ascii="Times New Roman" w:hAnsi="Times New Roman" w:cs="Times New Roman"/>
                <w:sz w:val="24"/>
                <w:szCs w:val="24"/>
              </w:rPr>
              <w:t xml:space="preserve">. </w:t>
            </w:r>
          </w:p>
          <w:p w14:paraId="665DAFFE" w14:textId="49A99A82" w:rsidR="001968A3" w:rsidRPr="00697842" w:rsidRDefault="008F5346" w:rsidP="00C7267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Kui projekti elluviimine eeldab partnerite kaasamist, siis </w:t>
            </w:r>
            <w:r w:rsidR="00155384" w:rsidRPr="00697842">
              <w:rPr>
                <w:rFonts w:ascii="Times New Roman" w:hAnsi="Times New Roman" w:cs="Times New Roman"/>
                <w:sz w:val="24"/>
                <w:szCs w:val="24"/>
              </w:rPr>
              <w:t>osa</w:t>
            </w:r>
            <w:r w:rsidRPr="00697842">
              <w:rPr>
                <w:rFonts w:ascii="Times New Roman" w:hAnsi="Times New Roman" w:cs="Times New Roman"/>
                <w:sz w:val="24"/>
                <w:szCs w:val="24"/>
              </w:rPr>
              <w:t xml:space="preserve"> vajalikke partnereid on leitud</w:t>
            </w:r>
            <w:r w:rsidR="00697842">
              <w:rPr>
                <w:rFonts w:ascii="Times New Roman" w:hAnsi="Times New Roman" w:cs="Times New Roman"/>
                <w:sz w:val="24"/>
                <w:szCs w:val="24"/>
              </w:rPr>
              <w:t>,</w:t>
            </w:r>
            <w:r w:rsidR="00276325" w:rsidRPr="00697842">
              <w:rPr>
                <w:rFonts w:ascii="Times New Roman" w:hAnsi="Times New Roman" w:cs="Times New Roman"/>
                <w:sz w:val="24"/>
                <w:szCs w:val="24"/>
              </w:rPr>
              <w:t xml:space="preserve"> kuid ei ole kokku lepitud vastutus</w:t>
            </w:r>
            <w:r w:rsidR="00C72672">
              <w:rPr>
                <w:rFonts w:ascii="Times New Roman" w:hAnsi="Times New Roman" w:cs="Times New Roman"/>
                <w:sz w:val="24"/>
                <w:szCs w:val="24"/>
              </w:rPr>
              <w:t xml:space="preserve">e jaotus, </w:t>
            </w:r>
            <w:r w:rsidR="00276325" w:rsidRPr="00697842">
              <w:rPr>
                <w:rFonts w:ascii="Times New Roman" w:hAnsi="Times New Roman" w:cs="Times New Roman"/>
                <w:sz w:val="24"/>
                <w:szCs w:val="24"/>
              </w:rPr>
              <w:t>õigus</w:t>
            </w:r>
            <w:r w:rsidR="00C72672">
              <w:rPr>
                <w:rFonts w:ascii="Times New Roman" w:hAnsi="Times New Roman" w:cs="Times New Roman"/>
                <w:sz w:val="24"/>
                <w:szCs w:val="24"/>
              </w:rPr>
              <w:t>ed ja kohustused</w:t>
            </w:r>
            <w:r w:rsidR="00B860EC" w:rsidRPr="00697842">
              <w:rPr>
                <w:rFonts w:ascii="Times New Roman" w:hAnsi="Times New Roman" w:cs="Times New Roman"/>
                <w:sz w:val="24"/>
                <w:szCs w:val="24"/>
              </w:rPr>
              <w:t>.</w:t>
            </w:r>
          </w:p>
        </w:tc>
      </w:tr>
      <w:tr w:rsidR="001968A3" w:rsidRPr="00151EB8" w14:paraId="061DCAB8" w14:textId="77777777" w:rsidTr="001968A3">
        <w:tc>
          <w:tcPr>
            <w:tcW w:w="1129" w:type="dxa"/>
          </w:tcPr>
          <w:p w14:paraId="29E786DA"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lastRenderedPageBreak/>
              <w:t>3</w:t>
            </w:r>
          </w:p>
        </w:tc>
        <w:tc>
          <w:tcPr>
            <w:tcW w:w="7933" w:type="dxa"/>
          </w:tcPr>
          <w:p w14:paraId="322D1224" w14:textId="77777777" w:rsidR="001968A3" w:rsidRPr="00697842" w:rsidRDefault="000D0310" w:rsidP="00697842">
            <w:pPr>
              <w:jc w:val="both"/>
              <w:rPr>
                <w:rFonts w:ascii="Times New Roman" w:hAnsi="Times New Roman" w:cs="Times New Roman"/>
                <w:sz w:val="24"/>
                <w:szCs w:val="24"/>
              </w:rPr>
            </w:pPr>
            <w:r w:rsidRPr="00697842">
              <w:rPr>
                <w:rFonts w:ascii="Times New Roman" w:hAnsi="Times New Roman" w:cs="Times New Roman"/>
                <w:sz w:val="24"/>
                <w:szCs w:val="24"/>
              </w:rPr>
              <w:t xml:space="preserve">Vahepealne tase </w:t>
            </w:r>
          </w:p>
        </w:tc>
      </w:tr>
      <w:tr w:rsidR="001968A3" w:rsidRPr="00151EB8" w14:paraId="7FB7D33B" w14:textId="77777777" w:rsidTr="001968A3">
        <w:tc>
          <w:tcPr>
            <w:tcW w:w="1129" w:type="dxa"/>
          </w:tcPr>
          <w:p w14:paraId="3FF6ADF0" w14:textId="77777777" w:rsidR="001968A3" w:rsidRPr="00151EB8" w:rsidRDefault="001968A3" w:rsidP="00151EB8">
            <w:pPr>
              <w:jc w:val="both"/>
              <w:rPr>
                <w:rFonts w:ascii="Times New Roman" w:hAnsi="Times New Roman" w:cs="Times New Roman"/>
                <w:sz w:val="24"/>
                <w:szCs w:val="24"/>
              </w:rPr>
            </w:pPr>
            <w:r w:rsidRPr="00151EB8">
              <w:rPr>
                <w:rFonts w:ascii="Times New Roman" w:hAnsi="Times New Roman" w:cs="Times New Roman"/>
                <w:sz w:val="24"/>
                <w:szCs w:val="24"/>
              </w:rPr>
              <w:t>4</w:t>
            </w:r>
          </w:p>
        </w:tc>
        <w:tc>
          <w:tcPr>
            <w:tcW w:w="7933" w:type="dxa"/>
          </w:tcPr>
          <w:p w14:paraId="2FC0A70C" w14:textId="77777777" w:rsidR="00A06E80" w:rsidRPr="00697842" w:rsidRDefault="00A06E80"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elluviimise võimekus on väga hea. </w:t>
            </w:r>
          </w:p>
          <w:p w14:paraId="4A6543C8" w14:textId="1675EDCA" w:rsidR="006A0308" w:rsidRPr="00697842" w:rsidRDefault="006A0308"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Projekti elluviimise ajakava on realistlik ja arvestab võimalike viivitustega elluviimise erinevates etappides.</w:t>
            </w:r>
          </w:p>
          <w:p w14:paraId="757BB9C2" w14:textId="77A42A88"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Taotleja finantsvõimekus on piisav</w:t>
            </w:r>
            <w:r w:rsidR="006A0308" w:rsidRPr="00697842">
              <w:rPr>
                <w:rFonts w:ascii="Times New Roman" w:hAnsi="Times New Roman" w:cs="Times New Roman"/>
                <w:sz w:val="24"/>
                <w:szCs w:val="24"/>
              </w:rPr>
              <w:t xml:space="preserve"> ja selgelt tõendatud</w:t>
            </w:r>
            <w:r w:rsidRPr="00697842">
              <w:rPr>
                <w:rFonts w:ascii="Times New Roman" w:hAnsi="Times New Roman" w:cs="Times New Roman"/>
                <w:sz w:val="24"/>
                <w:szCs w:val="24"/>
              </w:rPr>
              <w:t xml:space="preserve">, et kindlustada taotluses toodud tegevuste elluviimiseks vajalik omafinantseerimine ja jätkutegevuste läbiviimine. </w:t>
            </w:r>
          </w:p>
          <w:p w14:paraId="54701469" w14:textId="77777777"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meeskond on komplekteeritud ning kõik vajalikud kompetentsid on olemas. </w:t>
            </w:r>
          </w:p>
          <w:p w14:paraId="6ACBD051" w14:textId="0FD885FC"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Projekti meeskond on </w:t>
            </w:r>
            <w:r w:rsidR="00A06E80" w:rsidRPr="00697842">
              <w:rPr>
                <w:rFonts w:ascii="Times New Roman" w:hAnsi="Times New Roman" w:cs="Times New Roman"/>
                <w:sz w:val="24"/>
                <w:szCs w:val="24"/>
              </w:rPr>
              <w:t>optimaalse</w:t>
            </w:r>
            <w:r w:rsidRPr="00697842">
              <w:rPr>
                <w:rFonts w:ascii="Times New Roman" w:hAnsi="Times New Roman" w:cs="Times New Roman"/>
                <w:sz w:val="24"/>
                <w:szCs w:val="24"/>
              </w:rPr>
              <w:t xml:space="preserve"> suurusega kavandatud tegevuste teostamiseks nii projekti elluviimise faasis kui sellele järgneval. </w:t>
            </w:r>
          </w:p>
          <w:p w14:paraId="28039AE7" w14:textId="77777777" w:rsidR="000D0310"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 xml:space="preserve">Elluviidavatele tegevustele on vastustajad määratud. </w:t>
            </w:r>
          </w:p>
          <w:p w14:paraId="2D5A63EA" w14:textId="471B2E4A" w:rsidR="001968A3" w:rsidRPr="00697842" w:rsidRDefault="008F5346" w:rsidP="00697842">
            <w:pPr>
              <w:pStyle w:val="ListParagraph"/>
              <w:numPr>
                <w:ilvl w:val="0"/>
                <w:numId w:val="24"/>
              </w:numPr>
              <w:jc w:val="both"/>
              <w:rPr>
                <w:rFonts w:ascii="Times New Roman" w:hAnsi="Times New Roman" w:cs="Times New Roman"/>
                <w:sz w:val="24"/>
                <w:szCs w:val="24"/>
              </w:rPr>
            </w:pPr>
            <w:r w:rsidRPr="00697842">
              <w:rPr>
                <w:rFonts w:ascii="Times New Roman" w:hAnsi="Times New Roman" w:cs="Times New Roman"/>
                <w:sz w:val="24"/>
                <w:szCs w:val="24"/>
              </w:rPr>
              <w:t>Kui projekti elluviimine eeldab partnerite kaasamist, siis vajalikud partnerid on kaasatud ning nende valmisolek projekti te</w:t>
            </w:r>
            <w:r w:rsidR="00697842">
              <w:rPr>
                <w:rFonts w:ascii="Times New Roman" w:hAnsi="Times New Roman" w:cs="Times New Roman"/>
                <w:sz w:val="24"/>
                <w:szCs w:val="24"/>
              </w:rPr>
              <w:t>gevustes osalemiseks on tagatud</w:t>
            </w:r>
            <w:r w:rsidR="006A0308" w:rsidRPr="00697842">
              <w:rPr>
                <w:rFonts w:ascii="Times New Roman" w:hAnsi="Times New Roman" w:cs="Times New Roman"/>
                <w:sz w:val="24"/>
                <w:szCs w:val="24"/>
              </w:rPr>
              <w:t>, kokk</w:t>
            </w:r>
            <w:r w:rsidR="00621CEA">
              <w:rPr>
                <w:rFonts w:ascii="Times New Roman" w:hAnsi="Times New Roman" w:cs="Times New Roman"/>
                <w:sz w:val="24"/>
                <w:szCs w:val="24"/>
              </w:rPr>
              <w:t xml:space="preserve">u on lepitud vastutuse jaotus, </w:t>
            </w:r>
            <w:r w:rsidR="006A0308" w:rsidRPr="00697842">
              <w:rPr>
                <w:rFonts w:ascii="Times New Roman" w:hAnsi="Times New Roman" w:cs="Times New Roman"/>
                <w:sz w:val="24"/>
                <w:szCs w:val="24"/>
              </w:rPr>
              <w:t>õigused ja kohustused.</w:t>
            </w:r>
          </w:p>
        </w:tc>
      </w:tr>
    </w:tbl>
    <w:p w14:paraId="4A2F8CB9" w14:textId="77777777" w:rsidR="00A62A58" w:rsidRPr="00151EB8" w:rsidRDefault="00A62A58">
      <w:pPr>
        <w:rPr>
          <w:rFonts w:ascii="Times New Roman" w:hAnsi="Times New Roman" w:cs="Times New Roman"/>
          <w:sz w:val="24"/>
          <w:szCs w:val="24"/>
        </w:rPr>
      </w:pPr>
      <w:bookmarkStart w:id="0" w:name="_GoBack"/>
      <w:bookmarkEnd w:id="0"/>
    </w:p>
    <w:sectPr w:rsidR="00A62A58" w:rsidRPr="00151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0C7"/>
    <w:multiLevelType w:val="hybridMultilevel"/>
    <w:tmpl w:val="2C2AA5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741DCB"/>
    <w:multiLevelType w:val="hybridMultilevel"/>
    <w:tmpl w:val="032CEF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B030FF"/>
    <w:multiLevelType w:val="hybridMultilevel"/>
    <w:tmpl w:val="A6C0B5C2"/>
    <w:lvl w:ilvl="0" w:tplc="40B6D88E">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3" w15:restartNumberingAfterBreak="0">
    <w:nsid w:val="1E2476C8"/>
    <w:multiLevelType w:val="hybridMultilevel"/>
    <w:tmpl w:val="53FEB35C"/>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667952"/>
    <w:multiLevelType w:val="hybridMultilevel"/>
    <w:tmpl w:val="502E5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912574"/>
    <w:multiLevelType w:val="hybridMultilevel"/>
    <w:tmpl w:val="051C61D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5860D7"/>
    <w:multiLevelType w:val="hybridMultilevel"/>
    <w:tmpl w:val="ABBCE69A"/>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9F270DF"/>
    <w:multiLevelType w:val="hybridMultilevel"/>
    <w:tmpl w:val="BE9AAD4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AB56521"/>
    <w:multiLevelType w:val="hybridMultilevel"/>
    <w:tmpl w:val="F09AF4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DE77A06"/>
    <w:multiLevelType w:val="hybridMultilevel"/>
    <w:tmpl w:val="F1283E8C"/>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31252F7"/>
    <w:multiLevelType w:val="hybridMultilevel"/>
    <w:tmpl w:val="4EBA85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5DD62FD"/>
    <w:multiLevelType w:val="hybridMultilevel"/>
    <w:tmpl w:val="6F4E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C0D5B96"/>
    <w:multiLevelType w:val="hybridMultilevel"/>
    <w:tmpl w:val="49849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DC13C8"/>
    <w:multiLevelType w:val="hybridMultilevel"/>
    <w:tmpl w:val="1B0E67B6"/>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5BE311E"/>
    <w:multiLevelType w:val="hybridMultilevel"/>
    <w:tmpl w:val="05446EE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6D31F6B"/>
    <w:multiLevelType w:val="hybridMultilevel"/>
    <w:tmpl w:val="5D2860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7DA18A3"/>
    <w:multiLevelType w:val="hybridMultilevel"/>
    <w:tmpl w:val="974A73B8"/>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D165F03"/>
    <w:multiLevelType w:val="hybridMultilevel"/>
    <w:tmpl w:val="385693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027181"/>
    <w:multiLevelType w:val="hybridMultilevel"/>
    <w:tmpl w:val="A93CDF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AD23766"/>
    <w:multiLevelType w:val="hybridMultilevel"/>
    <w:tmpl w:val="C13C9B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88165F"/>
    <w:multiLevelType w:val="hybridMultilevel"/>
    <w:tmpl w:val="C1FA209E"/>
    <w:lvl w:ilvl="0" w:tplc="40B6D88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10F0CCF"/>
    <w:multiLevelType w:val="hybridMultilevel"/>
    <w:tmpl w:val="111EEDB8"/>
    <w:lvl w:ilvl="0" w:tplc="F5F2CAE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BDF0084"/>
    <w:multiLevelType w:val="hybridMultilevel"/>
    <w:tmpl w:val="019C3C68"/>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3" w15:restartNumberingAfterBreak="0">
    <w:nsid w:val="7FF404F2"/>
    <w:multiLevelType w:val="hybridMultilevel"/>
    <w:tmpl w:val="EF0406DA"/>
    <w:lvl w:ilvl="0" w:tplc="D6E6CDB0">
      <w:start w:val="1"/>
      <w:numFmt w:val="bullet"/>
      <w:lvlText w:val="-"/>
      <w:lvlJc w:val="left"/>
      <w:pPr>
        <w:ind w:left="720" w:hanging="360"/>
      </w:pPr>
      <w:rPr>
        <w:rFonts w:ascii="Courier New" w:hAnsi="Courier New"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1"/>
  </w:num>
  <w:num w:numId="4">
    <w:abstractNumId w:val="17"/>
  </w:num>
  <w:num w:numId="5">
    <w:abstractNumId w:val="0"/>
  </w:num>
  <w:num w:numId="6">
    <w:abstractNumId w:val="10"/>
  </w:num>
  <w:num w:numId="7">
    <w:abstractNumId w:val="4"/>
  </w:num>
  <w:num w:numId="8">
    <w:abstractNumId w:val="1"/>
  </w:num>
  <w:num w:numId="9">
    <w:abstractNumId w:val="12"/>
  </w:num>
  <w:num w:numId="10">
    <w:abstractNumId w:val="19"/>
  </w:num>
  <w:num w:numId="11">
    <w:abstractNumId w:val="15"/>
  </w:num>
  <w:num w:numId="12">
    <w:abstractNumId w:val="9"/>
  </w:num>
  <w:num w:numId="13">
    <w:abstractNumId w:val="22"/>
  </w:num>
  <w:num w:numId="14">
    <w:abstractNumId w:val="23"/>
  </w:num>
  <w:num w:numId="15">
    <w:abstractNumId w:val="7"/>
  </w:num>
  <w:num w:numId="16">
    <w:abstractNumId w:val="3"/>
  </w:num>
  <w:num w:numId="17">
    <w:abstractNumId w:val="16"/>
  </w:num>
  <w:num w:numId="18">
    <w:abstractNumId w:val="5"/>
  </w:num>
  <w:num w:numId="19">
    <w:abstractNumId w:val="14"/>
  </w:num>
  <w:num w:numId="20">
    <w:abstractNumId w:val="2"/>
  </w:num>
  <w:num w:numId="21">
    <w:abstractNumId w:val="8"/>
  </w:num>
  <w:num w:numId="22">
    <w:abstractNumId w:val="6"/>
  </w:num>
  <w:num w:numId="23">
    <w:abstractNumId w:val="1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A7"/>
    <w:rsid w:val="0002224B"/>
    <w:rsid w:val="000237AE"/>
    <w:rsid w:val="000357DF"/>
    <w:rsid w:val="00044739"/>
    <w:rsid w:val="00057FE5"/>
    <w:rsid w:val="000C745C"/>
    <w:rsid w:val="000D0310"/>
    <w:rsid w:val="0011023F"/>
    <w:rsid w:val="001135F3"/>
    <w:rsid w:val="00122AD6"/>
    <w:rsid w:val="0014246C"/>
    <w:rsid w:val="00151EB8"/>
    <w:rsid w:val="00155384"/>
    <w:rsid w:val="00182ED0"/>
    <w:rsid w:val="001968A3"/>
    <w:rsid w:val="001B2DFE"/>
    <w:rsid w:val="00225CA9"/>
    <w:rsid w:val="0023154F"/>
    <w:rsid w:val="002574C6"/>
    <w:rsid w:val="00276325"/>
    <w:rsid w:val="002D03C0"/>
    <w:rsid w:val="003217C2"/>
    <w:rsid w:val="00346C25"/>
    <w:rsid w:val="0037378E"/>
    <w:rsid w:val="0038622A"/>
    <w:rsid w:val="0039425F"/>
    <w:rsid w:val="003D7A30"/>
    <w:rsid w:val="0047282B"/>
    <w:rsid w:val="004C49E1"/>
    <w:rsid w:val="00504A4C"/>
    <w:rsid w:val="00523558"/>
    <w:rsid w:val="0052395A"/>
    <w:rsid w:val="005615B4"/>
    <w:rsid w:val="0057571E"/>
    <w:rsid w:val="005F3391"/>
    <w:rsid w:val="005F442D"/>
    <w:rsid w:val="005F48D9"/>
    <w:rsid w:val="00621CEA"/>
    <w:rsid w:val="00641217"/>
    <w:rsid w:val="00670250"/>
    <w:rsid w:val="006823D1"/>
    <w:rsid w:val="00697842"/>
    <w:rsid w:val="00697A79"/>
    <w:rsid w:val="006A0308"/>
    <w:rsid w:val="006B5BEF"/>
    <w:rsid w:val="007005A7"/>
    <w:rsid w:val="007153E5"/>
    <w:rsid w:val="00744369"/>
    <w:rsid w:val="007700C3"/>
    <w:rsid w:val="00793800"/>
    <w:rsid w:val="0086309F"/>
    <w:rsid w:val="0088709C"/>
    <w:rsid w:val="008F5346"/>
    <w:rsid w:val="00973EFE"/>
    <w:rsid w:val="009B3F9E"/>
    <w:rsid w:val="00A03879"/>
    <w:rsid w:val="00A06E80"/>
    <w:rsid w:val="00A62A58"/>
    <w:rsid w:val="00A7038E"/>
    <w:rsid w:val="00B311A0"/>
    <w:rsid w:val="00B61AEA"/>
    <w:rsid w:val="00B860EC"/>
    <w:rsid w:val="00BB7F5E"/>
    <w:rsid w:val="00BC475E"/>
    <w:rsid w:val="00BC503F"/>
    <w:rsid w:val="00C11FAC"/>
    <w:rsid w:val="00C36396"/>
    <w:rsid w:val="00C42DA0"/>
    <w:rsid w:val="00C72672"/>
    <w:rsid w:val="00D712DD"/>
    <w:rsid w:val="00D77DBE"/>
    <w:rsid w:val="00E307A7"/>
    <w:rsid w:val="00E81254"/>
    <w:rsid w:val="00F14048"/>
    <w:rsid w:val="00F14EEC"/>
    <w:rsid w:val="00F17F86"/>
    <w:rsid w:val="00F350E2"/>
    <w:rsid w:val="00FC6B1A"/>
    <w:rsid w:val="00FE5E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DFB1"/>
  <w15:chartTrackingRefBased/>
  <w15:docId w15:val="{BAB9D2C5-E129-40A3-9CBE-5BCCE751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B9"/>
    <w:pPr>
      <w:ind w:left="720"/>
      <w:contextualSpacing/>
    </w:pPr>
  </w:style>
  <w:style w:type="character" w:styleId="CommentReference">
    <w:name w:val="annotation reference"/>
    <w:basedOn w:val="DefaultParagraphFont"/>
    <w:uiPriority w:val="99"/>
    <w:semiHidden/>
    <w:unhideWhenUsed/>
    <w:rsid w:val="006B5BEF"/>
    <w:rPr>
      <w:sz w:val="16"/>
      <w:szCs w:val="16"/>
    </w:rPr>
  </w:style>
  <w:style w:type="paragraph" w:styleId="CommentText">
    <w:name w:val="annotation text"/>
    <w:basedOn w:val="Normal"/>
    <w:link w:val="CommentTextChar"/>
    <w:uiPriority w:val="99"/>
    <w:unhideWhenUsed/>
    <w:rsid w:val="006B5BEF"/>
    <w:pPr>
      <w:spacing w:line="240" w:lineRule="auto"/>
    </w:pPr>
    <w:rPr>
      <w:sz w:val="20"/>
      <w:szCs w:val="20"/>
    </w:rPr>
  </w:style>
  <w:style w:type="character" w:customStyle="1" w:styleId="CommentTextChar">
    <w:name w:val="Comment Text Char"/>
    <w:basedOn w:val="DefaultParagraphFont"/>
    <w:link w:val="CommentText"/>
    <w:uiPriority w:val="99"/>
    <w:rsid w:val="006B5BEF"/>
    <w:rPr>
      <w:sz w:val="20"/>
      <w:szCs w:val="20"/>
    </w:rPr>
  </w:style>
  <w:style w:type="paragraph" w:styleId="CommentSubject">
    <w:name w:val="annotation subject"/>
    <w:basedOn w:val="CommentText"/>
    <w:next w:val="CommentText"/>
    <w:link w:val="CommentSubjectChar"/>
    <w:uiPriority w:val="99"/>
    <w:semiHidden/>
    <w:unhideWhenUsed/>
    <w:rsid w:val="006B5BEF"/>
    <w:rPr>
      <w:b/>
      <w:bCs/>
    </w:rPr>
  </w:style>
  <w:style w:type="character" w:customStyle="1" w:styleId="CommentSubjectChar">
    <w:name w:val="Comment Subject Char"/>
    <w:basedOn w:val="CommentTextChar"/>
    <w:link w:val="CommentSubject"/>
    <w:uiPriority w:val="99"/>
    <w:semiHidden/>
    <w:rsid w:val="006B5BEF"/>
    <w:rPr>
      <w:b/>
      <w:bCs/>
      <w:sz w:val="20"/>
      <w:szCs w:val="20"/>
    </w:rPr>
  </w:style>
  <w:style w:type="paragraph" w:styleId="BalloonText">
    <w:name w:val="Balloon Text"/>
    <w:basedOn w:val="Normal"/>
    <w:link w:val="BalloonTextChar"/>
    <w:uiPriority w:val="99"/>
    <w:semiHidden/>
    <w:unhideWhenUsed/>
    <w:rsid w:val="006B5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3191</Words>
  <Characters>18514</Characters>
  <Application>Microsoft Office Word</Application>
  <DocSecurity>0</DocSecurity>
  <Lines>154</Lines>
  <Paragraphs>43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Ruul</dc:creator>
  <cp:keywords/>
  <dc:description/>
  <cp:lastModifiedBy>Pille Ruul</cp:lastModifiedBy>
  <cp:revision>5</cp:revision>
  <dcterms:created xsi:type="dcterms:W3CDTF">2021-03-12T13:11:00Z</dcterms:created>
  <dcterms:modified xsi:type="dcterms:W3CDTF">2021-03-18T12:48:00Z</dcterms:modified>
</cp:coreProperties>
</file>