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6A1D3" w14:textId="77777777" w:rsidR="00ED2796" w:rsidRDefault="00ED2796" w:rsidP="009C22DE">
      <w:pPr>
        <w:jc w:val="center"/>
        <w:rPr>
          <w:b/>
        </w:rPr>
      </w:pPr>
      <w:bookmarkStart w:id="0" w:name="_GoBack"/>
      <w:bookmarkEnd w:id="0"/>
    </w:p>
    <w:p w14:paraId="050FF072" w14:textId="77777777" w:rsidR="009C22DE" w:rsidRPr="009576D1" w:rsidRDefault="003C20F4" w:rsidP="009C22DE">
      <w:pPr>
        <w:jc w:val="center"/>
        <w:rPr>
          <w:b/>
          <w:color w:val="44546A" w:themeColor="text2"/>
        </w:rPr>
      </w:pPr>
      <w:r w:rsidRPr="009576D1">
        <w:rPr>
          <w:b/>
        </w:rPr>
        <w:t>Strategic Report</w:t>
      </w:r>
      <w:r w:rsidR="007550AF" w:rsidRPr="009576D1">
        <w:rPr>
          <w:b/>
        </w:rPr>
        <w:t xml:space="preserve"> for </w:t>
      </w:r>
      <w:r w:rsidR="002C573D" w:rsidRPr="002C573D">
        <w:rPr>
          <w:b/>
        </w:rPr>
        <w:t>Estonia</w:t>
      </w:r>
    </w:p>
    <w:p w14:paraId="050FF073" w14:textId="30893022" w:rsidR="009C22DE" w:rsidRPr="009576D1" w:rsidRDefault="003C20F4" w:rsidP="007532F2">
      <w:pPr>
        <w:jc w:val="center"/>
        <w:rPr>
          <w:b/>
          <w:bCs/>
        </w:rPr>
      </w:pPr>
      <w:r w:rsidRPr="009576D1">
        <w:rPr>
          <w:b/>
          <w:bCs/>
        </w:rPr>
        <w:t>EEA</w:t>
      </w:r>
      <w:r w:rsidR="00873B3F">
        <w:rPr>
          <w:b/>
          <w:bCs/>
        </w:rPr>
        <w:t xml:space="preserve"> and Norwegian</w:t>
      </w:r>
      <w:r w:rsidRPr="009576D1">
        <w:rPr>
          <w:b/>
          <w:bCs/>
        </w:rPr>
        <w:t xml:space="preserve"> Financial Mechanisms 2014-2021</w:t>
      </w:r>
    </w:p>
    <w:p w14:paraId="050FF074" w14:textId="77777777" w:rsidR="00325882" w:rsidRPr="009576D1" w:rsidRDefault="00325882" w:rsidP="007532F2">
      <w:pPr>
        <w:jc w:val="center"/>
        <w:rPr>
          <w:b/>
          <w:bCs/>
        </w:rPr>
      </w:pPr>
    </w:p>
    <w:p w14:paraId="050FF075" w14:textId="77777777" w:rsidR="00325882" w:rsidRPr="009576D1" w:rsidRDefault="00325882" w:rsidP="007532F2">
      <w:pPr>
        <w:jc w:val="center"/>
        <w:rPr>
          <w:rFonts w:eastAsia="Times New Roman"/>
          <w:b/>
          <w:color w:val="4F81BD"/>
          <w:lang w:eastAsia="nb-NO"/>
        </w:rPr>
      </w:pPr>
    </w:p>
    <w:p w14:paraId="050FF076" w14:textId="77777777" w:rsidR="009C22DE" w:rsidRDefault="003C20F4" w:rsidP="00FF1E48">
      <w:pPr>
        <w:pStyle w:val="Heading1"/>
        <w:numPr>
          <w:ilvl w:val="0"/>
          <w:numId w:val="1"/>
        </w:numPr>
        <w:rPr>
          <w:rFonts w:cstheme="majorHAnsi"/>
          <w:sz w:val="22"/>
          <w:szCs w:val="22"/>
        </w:rPr>
      </w:pPr>
      <w:r w:rsidRPr="009576D1">
        <w:rPr>
          <w:rFonts w:cstheme="majorHAnsi"/>
          <w:sz w:val="22"/>
          <w:szCs w:val="22"/>
        </w:rPr>
        <w:t>Executive summary</w:t>
      </w:r>
    </w:p>
    <w:p w14:paraId="050FF077" w14:textId="77777777" w:rsidR="00F12B90" w:rsidRPr="00F12B90" w:rsidRDefault="00F12B90" w:rsidP="00F12B90"/>
    <w:p w14:paraId="606660F1" w14:textId="140261EE" w:rsidR="0016792C" w:rsidRPr="00FB0D20" w:rsidRDefault="0016792C" w:rsidP="0016792C">
      <w:pPr>
        <w:rPr>
          <w:lang w:val="en-US"/>
        </w:rPr>
      </w:pPr>
      <w:r w:rsidRPr="00FB0D20">
        <w:rPr>
          <w:lang w:val="en-US"/>
        </w:rPr>
        <w:t>State Shared Service Centre (</w:t>
      </w:r>
      <w:r w:rsidR="00873B3F">
        <w:rPr>
          <w:lang w:val="en-US"/>
        </w:rPr>
        <w:t xml:space="preserve">further referred as </w:t>
      </w:r>
      <w:r w:rsidRPr="00FB0D20">
        <w:rPr>
          <w:lang w:val="en-US"/>
        </w:rPr>
        <w:t>SSSC), acting as the National Focal Point (</w:t>
      </w:r>
      <w:r w:rsidR="00873B3F">
        <w:rPr>
          <w:lang w:val="en-US"/>
        </w:rPr>
        <w:t xml:space="preserve">further referred as </w:t>
      </w:r>
      <w:r w:rsidRPr="00FB0D20">
        <w:rPr>
          <w:lang w:val="en-US"/>
        </w:rPr>
        <w:t xml:space="preserve">NFP) for the implementation of the </w:t>
      </w:r>
      <w:r w:rsidR="00873B3F">
        <w:rPr>
          <w:lang w:val="en-US"/>
        </w:rPr>
        <w:t xml:space="preserve">EEA and Norwegian </w:t>
      </w:r>
      <w:r w:rsidRPr="00FB0D20">
        <w:rPr>
          <w:lang w:val="en-US"/>
        </w:rPr>
        <w:t>Financial Mechanism in Estonia prepared the Annual Strategic Report No. 1 on the I</w:t>
      </w:r>
      <w:r w:rsidR="00873B3F">
        <w:rPr>
          <w:lang w:val="en-US"/>
        </w:rPr>
        <w:t>mplementation of the</w:t>
      </w:r>
      <w:r>
        <w:rPr>
          <w:lang w:val="en-US"/>
        </w:rPr>
        <w:t xml:space="preserve"> </w:t>
      </w:r>
      <w:r w:rsidRPr="002C573D">
        <w:rPr>
          <w:lang w:val="en-US"/>
        </w:rPr>
        <w:t>EEA</w:t>
      </w:r>
      <w:r>
        <w:rPr>
          <w:lang w:val="en-US"/>
        </w:rPr>
        <w:t xml:space="preserve"> and Norwegian</w:t>
      </w:r>
      <w:r w:rsidRPr="00FB0D20">
        <w:rPr>
          <w:lang w:val="en-US"/>
        </w:rPr>
        <w:t xml:space="preserve"> Financial Mechanisms </w:t>
      </w:r>
      <w:r w:rsidR="00873B3F">
        <w:rPr>
          <w:lang w:val="en-US"/>
        </w:rPr>
        <w:t xml:space="preserve">2014-2021 </w:t>
      </w:r>
      <w:r w:rsidRPr="00FB0D20">
        <w:rPr>
          <w:lang w:val="en-US"/>
        </w:rPr>
        <w:t>in Estonia (further referred as the Strategic Report).</w:t>
      </w:r>
    </w:p>
    <w:p w14:paraId="52A1EF11" w14:textId="77777777" w:rsidR="0016792C" w:rsidRPr="00FB0D20" w:rsidRDefault="0016792C" w:rsidP="0016792C">
      <w:pPr>
        <w:rPr>
          <w:lang w:val="en-US"/>
        </w:rPr>
      </w:pPr>
    </w:p>
    <w:p w14:paraId="295D4022" w14:textId="77777777" w:rsidR="0016792C" w:rsidRPr="00FB0D20" w:rsidRDefault="0016792C" w:rsidP="0016792C">
      <w:pPr>
        <w:rPr>
          <w:lang w:val="en-US"/>
        </w:rPr>
      </w:pPr>
      <w:r w:rsidRPr="00FB0D20">
        <w:rPr>
          <w:lang w:val="en-US"/>
        </w:rPr>
        <w:t>The Strategic Report reflects the implementation of the financial mechanisms during the period from 10</w:t>
      </w:r>
      <w:r>
        <w:rPr>
          <w:lang w:val="en-US"/>
        </w:rPr>
        <w:t> </w:t>
      </w:r>
      <w:r w:rsidRPr="00FB0D20">
        <w:rPr>
          <w:lang w:val="en-US"/>
        </w:rPr>
        <w:t xml:space="preserve">May 2017 (signing of the Memorandum of Understandings on implementation of the Mechanisms) to 30 July 2019. The report provides information on the status of programmes and bilateral funds and provides the information on changes made in the management and implementation system of the grants. </w:t>
      </w:r>
    </w:p>
    <w:p w14:paraId="797233D6" w14:textId="77777777" w:rsidR="0016792C" w:rsidRPr="00FB0D20" w:rsidRDefault="0016792C" w:rsidP="0016792C">
      <w:pPr>
        <w:rPr>
          <w:lang w:val="en-US"/>
        </w:rPr>
      </w:pPr>
    </w:p>
    <w:p w14:paraId="2D3B90A1" w14:textId="77777777" w:rsidR="0016792C" w:rsidRPr="00FB0D20" w:rsidRDefault="0016792C" w:rsidP="0016792C">
      <w:pPr>
        <w:rPr>
          <w:lang w:val="en-US"/>
        </w:rPr>
      </w:pPr>
      <w:r w:rsidRPr="00FB0D20">
        <w:rPr>
          <w:lang w:val="en-US"/>
        </w:rPr>
        <w:t xml:space="preserve">The overall objectives of the </w:t>
      </w:r>
      <w:r>
        <w:rPr>
          <w:lang w:val="en-US"/>
        </w:rPr>
        <w:t>EEA and Norwegian</w:t>
      </w:r>
      <w:r w:rsidRPr="00FB0D20">
        <w:rPr>
          <w:lang w:val="en-US"/>
        </w:rPr>
        <w:t xml:space="preserve"> Financial Mechanism 2014-2021 are to contribute to the reduction of economic and social disparities in the European Economic Area and to strengthening bilateral relations bet</w:t>
      </w:r>
      <w:r>
        <w:rPr>
          <w:lang w:val="en-US"/>
        </w:rPr>
        <w:t xml:space="preserve">ween </w:t>
      </w:r>
      <w:r w:rsidRPr="005B0658">
        <w:rPr>
          <w:lang w:val="en-US"/>
        </w:rPr>
        <w:t>the donor state</w:t>
      </w:r>
      <w:r>
        <w:rPr>
          <w:lang w:val="en-US"/>
        </w:rPr>
        <w:t>s</w:t>
      </w:r>
      <w:r w:rsidRPr="00FB0D20">
        <w:rPr>
          <w:lang w:val="en-US"/>
        </w:rPr>
        <w:t xml:space="preserve"> and the beneficiary states through financial contributions in the </w:t>
      </w:r>
      <w:r>
        <w:rPr>
          <w:lang w:val="en-US"/>
        </w:rPr>
        <w:t>field of innovation, research, education and competitiveness; social  inclusion, youth employment and poverty reduction; environment, energy, climate change and low carbon economy; culture, civil society, good governance, fundamental rights and freedoms; and justice and home affairs.</w:t>
      </w:r>
      <w:r w:rsidRPr="00FB0D20">
        <w:rPr>
          <w:lang w:val="en-US"/>
        </w:rPr>
        <w:t xml:space="preserve"> To achieve the overall objectives, t</w:t>
      </w:r>
      <w:r>
        <w:rPr>
          <w:lang w:val="en-US"/>
        </w:rPr>
        <w:t xml:space="preserve">he donor </w:t>
      </w:r>
      <w:r w:rsidRPr="00645D61">
        <w:rPr>
          <w:lang w:val="en-US"/>
        </w:rPr>
        <w:t>states – Iceland, Liechtenstein, and</w:t>
      </w:r>
      <w:r>
        <w:rPr>
          <w:lang w:val="en-US"/>
        </w:rPr>
        <w:t xml:space="preserve"> </w:t>
      </w:r>
      <w:r w:rsidRPr="00FB0D20">
        <w:rPr>
          <w:lang w:val="en-US"/>
        </w:rPr>
        <w:t>Norway</w:t>
      </w:r>
      <w:r>
        <w:rPr>
          <w:lang w:val="en-US"/>
        </w:rPr>
        <w:t xml:space="preserve"> </w:t>
      </w:r>
      <w:r w:rsidRPr="00645D61">
        <w:rPr>
          <w:lang w:val="en-US"/>
        </w:rPr>
        <w:t xml:space="preserve">– </w:t>
      </w:r>
      <w:r>
        <w:rPr>
          <w:lang w:val="en-US"/>
        </w:rPr>
        <w:t xml:space="preserve">have made the net amount of 62 900 000 </w:t>
      </w:r>
      <w:r w:rsidRPr="00FB0D20">
        <w:rPr>
          <w:lang w:val="en-US"/>
        </w:rPr>
        <w:t xml:space="preserve">euros available for Estonia. </w:t>
      </w:r>
    </w:p>
    <w:p w14:paraId="61283BF0" w14:textId="77777777" w:rsidR="0016792C" w:rsidRPr="00FB0D20" w:rsidRDefault="0016792C" w:rsidP="0016792C">
      <w:pPr>
        <w:rPr>
          <w:lang w:val="en-US"/>
        </w:rPr>
      </w:pPr>
    </w:p>
    <w:p w14:paraId="5F906304" w14:textId="77777777" w:rsidR="0016792C" w:rsidRPr="00FB0D20" w:rsidRDefault="0016792C" w:rsidP="0016792C">
      <w:pPr>
        <w:rPr>
          <w:lang w:val="en-US"/>
        </w:rPr>
      </w:pPr>
      <w:r w:rsidRPr="00FB0D20">
        <w:rPr>
          <w:lang w:val="en-US"/>
        </w:rPr>
        <w:t xml:space="preserve">The years 2017-2018 can be considered as the years of the preparation of the implementation of grants. Since all concept notes were approved by the donors by the end of January 2019, in 2018 the Programme Operators were mostly engaged in developing concept notes, preparing programme agreements and setting up managing and controlling systems at the same time. However, the first </w:t>
      </w:r>
      <w:r w:rsidRPr="00FB0D20">
        <w:rPr>
          <w:lang w:val="en-US"/>
        </w:rPr>
        <w:lastRenderedPageBreak/>
        <w:t>programme agreement</w:t>
      </w:r>
      <w:r>
        <w:rPr>
          <w:lang w:val="en-US"/>
        </w:rPr>
        <w:t>s</w:t>
      </w:r>
      <w:r w:rsidRPr="00FB0D20">
        <w:rPr>
          <w:lang w:val="en-US"/>
        </w:rPr>
        <w:t xml:space="preserve"> w</w:t>
      </w:r>
      <w:r>
        <w:rPr>
          <w:lang w:val="en-US"/>
        </w:rPr>
        <w:t>ere</w:t>
      </w:r>
      <w:r w:rsidRPr="00FB0D20">
        <w:rPr>
          <w:lang w:val="en-US"/>
        </w:rPr>
        <w:t xml:space="preserve"> signed </w:t>
      </w:r>
      <w:r>
        <w:rPr>
          <w:lang w:val="en-US"/>
        </w:rPr>
        <w:t xml:space="preserve">and the first </w:t>
      </w:r>
      <w:r w:rsidRPr="007925F0">
        <w:rPr>
          <w:lang w:val="en-US"/>
        </w:rPr>
        <w:t>open call</w:t>
      </w:r>
      <w:r>
        <w:rPr>
          <w:lang w:val="en-US"/>
        </w:rPr>
        <w:t xml:space="preserve"> was launched </w:t>
      </w:r>
      <w:r w:rsidRPr="00FB0D20">
        <w:rPr>
          <w:lang w:val="en-US"/>
        </w:rPr>
        <w:t>already in 2018. Therefore, it is not yet possible to assess how the chosen programmes have contributed to achieving the overall objectives of the financial mechanisms. As the legislative and economic environment can be considered stable in Estonia and all the programmes contribute to internal long-term strategies, no major risks affecting the achievement of the expected outcomes have been identified at the particular moment of implementation.</w:t>
      </w:r>
    </w:p>
    <w:p w14:paraId="413381D2" w14:textId="77777777" w:rsidR="0016792C" w:rsidRPr="00FB0D20" w:rsidRDefault="0016792C" w:rsidP="0016792C">
      <w:pPr>
        <w:rPr>
          <w:lang w:val="en-US"/>
        </w:rPr>
      </w:pPr>
    </w:p>
    <w:p w14:paraId="7008284F" w14:textId="77777777" w:rsidR="0016792C" w:rsidRPr="00FB0D20" w:rsidRDefault="0016792C" w:rsidP="0016792C">
      <w:pPr>
        <w:rPr>
          <w:lang w:val="en-US"/>
        </w:rPr>
      </w:pPr>
      <w:r w:rsidRPr="00FB0D20">
        <w:rPr>
          <w:lang w:val="en-US"/>
        </w:rPr>
        <w:t>In 2018, the bilateral relations between Estonia and the donor states were mainly strengthened through events financed from the Fund for Bilateral Relations at National Level. The main focus of using the Fund for Bilateral Relations at National Level has been helping the preparation of programmes through facilitating better mutual understanding between Estonian and donor states’ institutions.</w:t>
      </w:r>
    </w:p>
    <w:p w14:paraId="03FF426F" w14:textId="77777777" w:rsidR="0016792C" w:rsidRPr="00FB0D20" w:rsidRDefault="0016792C" w:rsidP="0016792C">
      <w:pPr>
        <w:rPr>
          <w:lang w:val="en-US"/>
        </w:rPr>
      </w:pPr>
    </w:p>
    <w:p w14:paraId="72A446CE" w14:textId="77777777" w:rsidR="0016792C" w:rsidRDefault="0016792C" w:rsidP="0016792C">
      <w:pPr>
        <w:rPr>
          <w:lang w:val="en-US"/>
        </w:rPr>
      </w:pPr>
      <w:r w:rsidRPr="00FB0D20">
        <w:rPr>
          <w:lang w:val="en-US"/>
        </w:rPr>
        <w:t>Looking forward, the most crucial challenge in the second half of 2019 is to conclude all programme agreements, launch all planned open calls in time, and start with the implementation of the first projects to be able to achieve the all programmes’ outputs, outcomes and objectives.</w:t>
      </w:r>
    </w:p>
    <w:p w14:paraId="050FF083" w14:textId="77777777" w:rsidR="00383212" w:rsidRDefault="00383212" w:rsidP="00AC4249">
      <w:pPr>
        <w:jc w:val="left"/>
        <w:rPr>
          <w:lang w:val="en-US"/>
        </w:rPr>
      </w:pPr>
    </w:p>
    <w:p w14:paraId="050FF084" w14:textId="77777777" w:rsidR="00383212" w:rsidRDefault="00383212" w:rsidP="00AA6C92">
      <w:pPr>
        <w:rPr>
          <w:lang w:val="en-US"/>
        </w:rPr>
      </w:pPr>
    </w:p>
    <w:p w14:paraId="050FF085" w14:textId="77777777" w:rsidR="004F641C" w:rsidRDefault="004F641C" w:rsidP="004F641C">
      <w:pPr>
        <w:rPr>
          <w:lang w:val="en-US"/>
        </w:rPr>
      </w:pPr>
    </w:p>
    <w:p w14:paraId="050FF086" w14:textId="77777777" w:rsidR="005B0658" w:rsidRDefault="003C20F4" w:rsidP="004F641C">
      <w:pPr>
        <w:spacing w:after="160" w:line="259" w:lineRule="auto"/>
        <w:rPr>
          <w:rFonts w:eastAsiaTheme="majorEastAsia"/>
          <w:b/>
          <w:color w:val="2E74B5" w:themeColor="accent1" w:themeShade="BF"/>
          <w:lang w:val="en-US"/>
        </w:rPr>
      </w:pPr>
      <w:r>
        <w:rPr>
          <w:lang w:val="en-US"/>
        </w:rPr>
        <w:br w:type="page"/>
      </w:r>
    </w:p>
    <w:p w14:paraId="050FF087" w14:textId="77777777" w:rsidR="00F64D54" w:rsidRPr="002C573D" w:rsidRDefault="003C20F4" w:rsidP="00FF1E48">
      <w:pPr>
        <w:pStyle w:val="Heading1"/>
        <w:numPr>
          <w:ilvl w:val="0"/>
          <w:numId w:val="1"/>
        </w:numPr>
        <w:rPr>
          <w:rFonts w:cstheme="majorHAnsi"/>
          <w:sz w:val="22"/>
          <w:szCs w:val="22"/>
          <w:lang w:val="en-US"/>
        </w:rPr>
      </w:pPr>
      <w:r w:rsidRPr="002C573D">
        <w:rPr>
          <w:rFonts w:cstheme="majorHAnsi"/>
          <w:sz w:val="22"/>
          <w:szCs w:val="22"/>
          <w:lang w:val="en-US"/>
        </w:rPr>
        <w:lastRenderedPageBreak/>
        <w:t>Political, economic and social context</w:t>
      </w:r>
    </w:p>
    <w:p w14:paraId="050FF088" w14:textId="77777777" w:rsidR="00250744" w:rsidRPr="00250744" w:rsidRDefault="00250744" w:rsidP="00250744"/>
    <w:p w14:paraId="050FF089" w14:textId="77777777" w:rsidR="005B0658" w:rsidRDefault="003C20F4" w:rsidP="00505779">
      <w:pPr>
        <w:rPr>
          <w:color w:val="000000" w:themeColor="text1"/>
        </w:rPr>
      </w:pPr>
      <w:r>
        <w:rPr>
          <w:color w:val="000000" w:themeColor="text1"/>
        </w:rPr>
        <w:t xml:space="preserve">Although the </w:t>
      </w:r>
      <w:r w:rsidR="005E7328">
        <w:rPr>
          <w:color w:val="000000" w:themeColor="text1"/>
        </w:rPr>
        <w:t>M</w:t>
      </w:r>
      <w:r>
        <w:rPr>
          <w:color w:val="000000" w:themeColor="text1"/>
        </w:rPr>
        <w:t xml:space="preserve">emorandum of </w:t>
      </w:r>
      <w:r w:rsidR="005E7328">
        <w:rPr>
          <w:color w:val="000000" w:themeColor="text1"/>
        </w:rPr>
        <w:t>U</w:t>
      </w:r>
      <w:r>
        <w:rPr>
          <w:color w:val="000000" w:themeColor="text1"/>
        </w:rPr>
        <w:t xml:space="preserve">nderstanding was signed in 2017, </w:t>
      </w:r>
      <w:r w:rsidRPr="004317A5">
        <w:rPr>
          <w:color w:val="000000" w:themeColor="text1"/>
        </w:rPr>
        <w:t xml:space="preserve">the implementation of the programmes is still at a very early stage </w:t>
      </w:r>
      <w:r>
        <w:rPr>
          <w:color w:val="000000" w:themeColor="text1"/>
        </w:rPr>
        <w:t xml:space="preserve">as </w:t>
      </w:r>
      <w:r w:rsidRPr="004317A5">
        <w:rPr>
          <w:color w:val="000000" w:themeColor="text1"/>
        </w:rPr>
        <w:t xml:space="preserve">all programme agreements </w:t>
      </w:r>
      <w:r>
        <w:rPr>
          <w:color w:val="000000" w:themeColor="text1"/>
        </w:rPr>
        <w:t>have not been</w:t>
      </w:r>
      <w:r w:rsidRPr="004317A5">
        <w:rPr>
          <w:color w:val="000000" w:themeColor="text1"/>
        </w:rPr>
        <w:t xml:space="preserve"> approved </w:t>
      </w:r>
      <w:r w:rsidR="002B7963">
        <w:rPr>
          <w:color w:val="000000" w:themeColor="text1"/>
        </w:rPr>
        <w:t xml:space="preserve">by the donors </w:t>
      </w:r>
      <w:r>
        <w:rPr>
          <w:color w:val="000000" w:themeColor="text1"/>
        </w:rPr>
        <w:t>yet. Therefore, it</w:t>
      </w:r>
      <w:r w:rsidRPr="004317A5">
        <w:rPr>
          <w:color w:val="000000" w:themeColor="text1"/>
        </w:rPr>
        <w:t xml:space="preserve"> </w:t>
      </w:r>
      <w:r>
        <w:rPr>
          <w:color w:val="000000" w:themeColor="text1"/>
        </w:rPr>
        <w:t xml:space="preserve">is </w:t>
      </w:r>
      <w:r w:rsidRPr="004317A5">
        <w:rPr>
          <w:color w:val="000000" w:themeColor="text1"/>
        </w:rPr>
        <w:t xml:space="preserve">too early to assess whether </w:t>
      </w:r>
      <w:r>
        <w:rPr>
          <w:color w:val="000000" w:themeColor="text1"/>
        </w:rPr>
        <w:t xml:space="preserve">any </w:t>
      </w:r>
      <w:r w:rsidRPr="003B267C">
        <w:rPr>
          <w:color w:val="000000" w:themeColor="text1"/>
        </w:rPr>
        <w:t>political, econo</w:t>
      </w:r>
      <w:r w:rsidR="002B7963">
        <w:rPr>
          <w:color w:val="000000" w:themeColor="text1"/>
        </w:rPr>
        <w:t>mic and social change or trends</w:t>
      </w:r>
      <w:r>
        <w:rPr>
          <w:color w:val="000000" w:themeColor="text1"/>
        </w:rPr>
        <w:t xml:space="preserve"> might have a considerable </w:t>
      </w:r>
      <w:r w:rsidRPr="003B267C">
        <w:rPr>
          <w:color w:val="000000" w:themeColor="text1"/>
        </w:rPr>
        <w:t>impact on the implementation of the Financial Mechanisms</w:t>
      </w:r>
      <w:r w:rsidR="005E7328">
        <w:rPr>
          <w:color w:val="000000" w:themeColor="text1"/>
        </w:rPr>
        <w:t xml:space="preserve"> in Estonia. T</w:t>
      </w:r>
      <w:r>
        <w:rPr>
          <w:color w:val="000000" w:themeColor="text1"/>
        </w:rPr>
        <w:t xml:space="preserve">he overall </w:t>
      </w:r>
      <w:r w:rsidR="001017D8" w:rsidRPr="004317A5">
        <w:rPr>
          <w:color w:val="000000" w:themeColor="text1"/>
        </w:rPr>
        <w:t xml:space="preserve">legislative and economic environment </w:t>
      </w:r>
      <w:r w:rsidR="002B7963">
        <w:rPr>
          <w:color w:val="000000" w:themeColor="text1"/>
        </w:rPr>
        <w:t>has stayed</w:t>
      </w:r>
      <w:r w:rsidR="003B267C">
        <w:rPr>
          <w:color w:val="000000" w:themeColor="text1"/>
        </w:rPr>
        <w:t xml:space="preserve"> stable </w:t>
      </w:r>
      <w:r w:rsidR="005E7328">
        <w:rPr>
          <w:color w:val="000000" w:themeColor="text1"/>
        </w:rPr>
        <w:t xml:space="preserve">and </w:t>
      </w:r>
      <w:r w:rsidR="005E7328" w:rsidRPr="005E7328">
        <w:rPr>
          <w:color w:val="000000" w:themeColor="text1"/>
        </w:rPr>
        <w:t xml:space="preserve">has not changed significantly since the </w:t>
      </w:r>
      <w:r w:rsidR="004219A4" w:rsidRPr="004219A4">
        <w:rPr>
          <w:color w:val="000000" w:themeColor="text1"/>
        </w:rPr>
        <w:t xml:space="preserve">signing </w:t>
      </w:r>
      <w:r w:rsidR="004219A4">
        <w:rPr>
          <w:color w:val="000000" w:themeColor="text1"/>
        </w:rPr>
        <w:t xml:space="preserve">of the </w:t>
      </w:r>
      <w:r w:rsidR="005E7328">
        <w:rPr>
          <w:color w:val="000000" w:themeColor="text1"/>
        </w:rPr>
        <w:t>Memorandum of Understanding</w:t>
      </w:r>
      <w:r w:rsidR="003B267C">
        <w:rPr>
          <w:color w:val="000000" w:themeColor="text1"/>
        </w:rPr>
        <w:t xml:space="preserve">. </w:t>
      </w:r>
    </w:p>
    <w:p w14:paraId="050FF08A" w14:textId="77777777" w:rsidR="00BF0ADF" w:rsidRPr="00510520" w:rsidRDefault="00BF0ADF" w:rsidP="00C52BE8">
      <w:pPr>
        <w:rPr>
          <w:color w:val="FF0000"/>
        </w:rPr>
      </w:pPr>
    </w:p>
    <w:p w14:paraId="050FF08B" w14:textId="77777777" w:rsidR="009C22DE" w:rsidRDefault="003C20F4" w:rsidP="00C52BE8">
      <w:pPr>
        <w:pStyle w:val="Heading1"/>
        <w:numPr>
          <w:ilvl w:val="0"/>
          <w:numId w:val="1"/>
        </w:numPr>
        <w:ind w:left="357" w:hanging="357"/>
        <w:rPr>
          <w:rFonts w:cstheme="majorHAnsi"/>
          <w:sz w:val="22"/>
          <w:szCs w:val="22"/>
        </w:rPr>
      </w:pPr>
      <w:r w:rsidRPr="009576D1">
        <w:rPr>
          <w:rFonts w:cstheme="majorHAnsi"/>
          <w:sz w:val="22"/>
          <w:szCs w:val="22"/>
        </w:rPr>
        <w:t xml:space="preserve">Effects of the Grants  </w:t>
      </w:r>
    </w:p>
    <w:p w14:paraId="050FF08C" w14:textId="77777777" w:rsidR="00250744" w:rsidRPr="00250744" w:rsidRDefault="00250744" w:rsidP="00250744"/>
    <w:p w14:paraId="050FF08D" w14:textId="77777777" w:rsidR="005B0658" w:rsidRDefault="003C20F4" w:rsidP="00505779">
      <w:pPr>
        <w:spacing w:line="259" w:lineRule="auto"/>
      </w:pPr>
      <w:r>
        <w:t>Due to the early stage</w:t>
      </w:r>
      <w:r w:rsidR="001A1C1E" w:rsidRPr="001A1C1E">
        <w:t xml:space="preserve"> of </w:t>
      </w:r>
      <w:r>
        <w:t>the i</w:t>
      </w:r>
      <w:r w:rsidRPr="001A1C1E">
        <w:t>mplementation,</w:t>
      </w:r>
      <w:r>
        <w:t xml:space="preserve"> it</w:t>
      </w:r>
      <w:r w:rsidR="001A1C1E" w:rsidRPr="001A1C1E">
        <w:t xml:space="preserve"> </w:t>
      </w:r>
      <w:r>
        <w:t xml:space="preserve">is not yet possible to assess the overall effects of the grants. </w:t>
      </w:r>
    </w:p>
    <w:p w14:paraId="050FF08E" w14:textId="77777777" w:rsidR="00BF0ADF" w:rsidRDefault="00BF0ADF" w:rsidP="00505779">
      <w:pPr>
        <w:spacing w:after="160"/>
        <w:rPr>
          <w:rFonts w:eastAsiaTheme="majorEastAsia"/>
          <w:b/>
          <w:color w:val="2E74B5" w:themeColor="accent1" w:themeShade="BF"/>
        </w:rPr>
      </w:pPr>
    </w:p>
    <w:p w14:paraId="050FF08F" w14:textId="77777777" w:rsidR="009C22DE" w:rsidRDefault="003C20F4" w:rsidP="00FF1E48">
      <w:pPr>
        <w:pStyle w:val="Heading1"/>
        <w:numPr>
          <w:ilvl w:val="0"/>
          <w:numId w:val="1"/>
        </w:numPr>
        <w:rPr>
          <w:rFonts w:cstheme="majorHAnsi"/>
          <w:sz w:val="22"/>
          <w:szCs w:val="22"/>
        </w:rPr>
      </w:pPr>
      <w:r w:rsidRPr="009576D1">
        <w:rPr>
          <w:rFonts w:cstheme="majorHAnsi"/>
          <w:sz w:val="22"/>
          <w:szCs w:val="22"/>
        </w:rPr>
        <w:t>Status of programmes</w:t>
      </w:r>
    </w:p>
    <w:p w14:paraId="050FF090" w14:textId="77777777" w:rsidR="00250744" w:rsidRPr="00250744" w:rsidRDefault="00250744" w:rsidP="00F32148"/>
    <w:p w14:paraId="22E19A6B" w14:textId="54D757EE" w:rsidR="00F12DDC" w:rsidRDefault="00F12DDC" w:rsidP="00F12DDC">
      <w:r>
        <w:t>There are six programmes implemented within the EEA and Norwegian Financial Mechanisms 2014-2021 in Estonia. Local Development and Poverty Reduction, Climate Change Mitigation and Adaption,  Research and Education and Green ICT</w:t>
      </w:r>
      <w:r w:rsidRPr="00017577">
        <w:t xml:space="preserve"> </w:t>
      </w:r>
      <w:r>
        <w:t>programmes are operated by Estonian national administrative bodies. Civil Society and Social Dialogue-Decent Work programmes are operated directly by the FMO through the selected fund operator.</w:t>
      </w:r>
    </w:p>
    <w:p w14:paraId="43EDC9FF" w14:textId="77777777" w:rsidR="00F12DDC" w:rsidRDefault="00F12DDC" w:rsidP="00F12DDC"/>
    <w:p w14:paraId="050FF093" w14:textId="13FBE385" w:rsidR="009D2D1C" w:rsidRDefault="00F12DDC" w:rsidP="00505779">
      <w:r>
        <w:t xml:space="preserve">Concerning the programmes, 2018 was an intensive preparatory year and therefore the main activities in this reporting period were related to the preparation of concept notes and programme agreements and setting up management and control systems. Due to the fruitful cooperation with FMO and donor programme partners and because of the great work of the programme teams, 2018 was also the year </w:t>
      </w:r>
      <w:r w:rsidRPr="00447E0E">
        <w:t xml:space="preserve">of </w:t>
      </w:r>
      <w:r>
        <w:t>the announcement</w:t>
      </w:r>
      <w:r w:rsidRPr="00447E0E">
        <w:t xml:space="preserve"> of the first </w:t>
      </w:r>
      <w:r w:rsidRPr="00453466">
        <w:t>call for applications</w:t>
      </w:r>
      <w:r w:rsidR="00453466" w:rsidRPr="00453466">
        <w:t>.</w:t>
      </w:r>
    </w:p>
    <w:p w14:paraId="54A7D69D" w14:textId="77777777" w:rsidR="008F76C6" w:rsidRDefault="008F76C6" w:rsidP="001602F6">
      <w:pPr>
        <w:spacing w:after="240"/>
      </w:pPr>
    </w:p>
    <w:p w14:paraId="050FF094" w14:textId="77777777" w:rsidR="006B7504" w:rsidRDefault="003C20F4" w:rsidP="008F76C6">
      <w:pPr>
        <w:pStyle w:val="Heading1"/>
        <w:numPr>
          <w:ilvl w:val="1"/>
          <w:numId w:val="1"/>
        </w:numPr>
        <w:spacing w:before="0"/>
        <w:ind w:left="425" w:hanging="431"/>
        <w:rPr>
          <w:rFonts w:cstheme="majorHAnsi"/>
          <w:sz w:val="22"/>
          <w:szCs w:val="22"/>
        </w:rPr>
      </w:pPr>
      <w:r w:rsidRPr="006B7504">
        <w:rPr>
          <w:rFonts w:cstheme="majorHAnsi"/>
          <w:sz w:val="22"/>
          <w:szCs w:val="22"/>
        </w:rPr>
        <w:t>EE-Research (Baltic Research Programme)</w:t>
      </w:r>
    </w:p>
    <w:p w14:paraId="050FF095" w14:textId="77777777" w:rsidR="006B7504" w:rsidRDefault="006B7504" w:rsidP="00505779"/>
    <w:p w14:paraId="050FF096" w14:textId="77777777" w:rsidR="00FD1B38" w:rsidRPr="00D226C2" w:rsidRDefault="003C20F4" w:rsidP="00505779">
      <w:r>
        <w:lastRenderedPageBreak/>
        <w:t xml:space="preserve">EE-Research programme </w:t>
      </w:r>
      <w:r w:rsidR="00D226C2">
        <w:t>is operated by</w:t>
      </w:r>
      <w:r>
        <w:t xml:space="preserve"> t</w:t>
      </w:r>
      <w:r w:rsidR="00E234CF" w:rsidRPr="00E234CF">
        <w:t>he Min</w:t>
      </w:r>
      <w:r>
        <w:t xml:space="preserve">istry of Education and Research of Estonia. </w:t>
      </w:r>
      <w:r w:rsidR="00E234CF" w:rsidRPr="00E234CF">
        <w:t xml:space="preserve">Estonian Research Council and the Archimedes </w:t>
      </w:r>
      <w:r w:rsidR="007F29A5" w:rsidRPr="00E234CF">
        <w:t xml:space="preserve">Foundation </w:t>
      </w:r>
      <w:r>
        <w:t xml:space="preserve">are acting </w:t>
      </w:r>
      <w:r w:rsidR="00E234CF" w:rsidRPr="00E234CF">
        <w:t xml:space="preserve">as </w:t>
      </w:r>
      <w:r w:rsidR="00E3596C">
        <w:t>Implementing A</w:t>
      </w:r>
      <w:r w:rsidR="00E234CF" w:rsidRPr="00E234CF">
        <w:t>gencies</w:t>
      </w:r>
      <w:r>
        <w:t xml:space="preserve">. The programme has </w:t>
      </w:r>
      <w:r w:rsidRPr="00D226C2">
        <w:t xml:space="preserve">3 outcomes: </w:t>
      </w:r>
    </w:p>
    <w:p w14:paraId="050FF097" w14:textId="77777777" w:rsidR="00FD1B38" w:rsidRPr="00D226C2" w:rsidRDefault="003C20F4" w:rsidP="00505779">
      <w:pPr>
        <w:pStyle w:val="ListParagraph"/>
        <w:numPr>
          <w:ilvl w:val="0"/>
          <w:numId w:val="5"/>
        </w:numPr>
        <w:ind w:left="993" w:hanging="284"/>
        <w:rPr>
          <w:rFonts w:asciiTheme="majorHAnsi" w:hAnsiTheme="majorHAnsi"/>
          <w:sz w:val="22"/>
          <w:szCs w:val="22"/>
        </w:rPr>
      </w:pPr>
      <w:r w:rsidRPr="00D226C2">
        <w:rPr>
          <w:rFonts w:asciiTheme="majorHAnsi" w:hAnsiTheme="majorHAnsi"/>
          <w:sz w:val="22"/>
          <w:szCs w:val="22"/>
        </w:rPr>
        <w:t xml:space="preserve">enhanced performance of Baltic research internationally; </w:t>
      </w:r>
    </w:p>
    <w:p w14:paraId="050FF098" w14:textId="77777777" w:rsidR="00FD1B38" w:rsidRPr="00D226C2" w:rsidRDefault="003C20F4" w:rsidP="00505779">
      <w:pPr>
        <w:pStyle w:val="ListParagraph"/>
        <w:numPr>
          <w:ilvl w:val="0"/>
          <w:numId w:val="5"/>
        </w:numPr>
        <w:ind w:left="993" w:hanging="284"/>
        <w:rPr>
          <w:rFonts w:asciiTheme="majorHAnsi" w:hAnsiTheme="majorHAnsi"/>
          <w:sz w:val="22"/>
          <w:szCs w:val="22"/>
        </w:rPr>
      </w:pPr>
      <w:r w:rsidRPr="00D226C2">
        <w:rPr>
          <w:rFonts w:asciiTheme="majorHAnsi" w:hAnsiTheme="majorHAnsi"/>
          <w:sz w:val="22"/>
          <w:szCs w:val="22"/>
        </w:rPr>
        <w:t>improved skills and competences of students and staff in higher education (incl</w:t>
      </w:r>
      <w:r w:rsidR="005B0399">
        <w:rPr>
          <w:rFonts w:asciiTheme="majorHAnsi" w:hAnsiTheme="majorHAnsi"/>
          <w:sz w:val="22"/>
          <w:szCs w:val="22"/>
        </w:rPr>
        <w:t>uding</w:t>
      </w:r>
      <w:r w:rsidRPr="00D226C2">
        <w:rPr>
          <w:rFonts w:asciiTheme="majorHAnsi" w:hAnsiTheme="majorHAnsi"/>
          <w:sz w:val="22"/>
          <w:szCs w:val="22"/>
        </w:rPr>
        <w:t xml:space="preserve"> the pre-defined project of visiting lectureship of Norwegian language and literature at the University of Tartu;  </w:t>
      </w:r>
    </w:p>
    <w:p w14:paraId="050FF099" w14:textId="77777777" w:rsidR="00FD1B38" w:rsidRPr="00D226C2" w:rsidRDefault="003C20F4" w:rsidP="00505779">
      <w:pPr>
        <w:pStyle w:val="ListParagraph"/>
        <w:numPr>
          <w:ilvl w:val="0"/>
          <w:numId w:val="5"/>
        </w:numPr>
        <w:ind w:left="993" w:hanging="284"/>
        <w:rPr>
          <w:rFonts w:asciiTheme="majorHAnsi" w:hAnsiTheme="majorHAnsi"/>
          <w:sz w:val="22"/>
          <w:szCs w:val="22"/>
        </w:rPr>
      </w:pPr>
      <w:r w:rsidRPr="00D226C2">
        <w:rPr>
          <w:rFonts w:asciiTheme="majorHAnsi" w:hAnsiTheme="majorHAnsi"/>
          <w:sz w:val="22"/>
          <w:szCs w:val="22"/>
        </w:rPr>
        <w:t>increased competence of educational staff re</w:t>
      </w:r>
      <w:r w:rsidR="005B0399">
        <w:rPr>
          <w:rFonts w:asciiTheme="majorHAnsi" w:hAnsiTheme="majorHAnsi"/>
          <w:sz w:val="22"/>
          <w:szCs w:val="22"/>
        </w:rPr>
        <w:t>lated to working with SEN (including</w:t>
      </w:r>
      <w:r w:rsidRPr="00D226C2">
        <w:rPr>
          <w:rFonts w:asciiTheme="majorHAnsi" w:hAnsiTheme="majorHAnsi"/>
          <w:sz w:val="22"/>
          <w:szCs w:val="22"/>
        </w:rPr>
        <w:t xml:space="preserve"> the pre-defined project of developing and enhancing the teaching quality of inclusive education curriculum).  </w:t>
      </w:r>
    </w:p>
    <w:p w14:paraId="050FF09A" w14:textId="77777777" w:rsidR="00FD1B38" w:rsidRDefault="00FD1B38" w:rsidP="00505779"/>
    <w:p w14:paraId="050FF09B" w14:textId="77777777" w:rsidR="008B47A0" w:rsidRDefault="003C20F4" w:rsidP="00505779">
      <w:r>
        <w:t xml:space="preserve">The programme is </w:t>
      </w:r>
      <w:r w:rsidRPr="007F1B38">
        <w:t>financed by the EEA Grants</w:t>
      </w:r>
      <w:r>
        <w:t xml:space="preserve"> and the maximum amount of programme grant is 7 100 000 euros and the t</w:t>
      </w:r>
      <w:r w:rsidR="00FD1B38" w:rsidRPr="00FD1B38">
        <w:t>otal budget of the programme is 8</w:t>
      </w:r>
      <w:r w:rsidR="00BF0ADF">
        <w:t xml:space="preserve"> 352 </w:t>
      </w:r>
      <w:r w:rsidR="00FD1B38" w:rsidRPr="00FD1B38">
        <w:t>941 euros</w:t>
      </w:r>
      <w:r>
        <w:t xml:space="preserve">. </w:t>
      </w:r>
      <w:r w:rsidR="00FD1B38" w:rsidRPr="000545FE">
        <w:t>EE-Rese</w:t>
      </w:r>
      <w:r w:rsidR="00FD1B38">
        <w:t xml:space="preserve">arch programme agreement was signed </w:t>
      </w:r>
      <w:r w:rsidR="00FD1B38" w:rsidRPr="00EB18F0">
        <w:t>on 18 June 2018</w:t>
      </w:r>
      <w:r w:rsidR="00FD1B38">
        <w:t>.</w:t>
      </w:r>
    </w:p>
    <w:p w14:paraId="050FF09C" w14:textId="77777777" w:rsidR="00C65142" w:rsidRDefault="00C65142" w:rsidP="00505779"/>
    <w:p w14:paraId="050FF09D" w14:textId="45E123F8" w:rsidR="002E047F" w:rsidRDefault="003C20F4" w:rsidP="00505779">
      <w:r>
        <w:t>For the</w:t>
      </w:r>
      <w:r w:rsidR="00C65142" w:rsidRPr="00C65142">
        <w:t xml:space="preserve"> B</w:t>
      </w:r>
      <w:r w:rsidR="006F4059">
        <w:t>altic Research Programme</w:t>
      </w:r>
      <w:r w:rsidR="002A1761">
        <w:t xml:space="preserve"> </w:t>
      </w:r>
      <w:r w:rsidR="004725A3">
        <w:t xml:space="preserve">the setup of </w:t>
      </w:r>
      <w:r w:rsidR="006F4059" w:rsidRPr="00C65142">
        <w:t xml:space="preserve">management </w:t>
      </w:r>
      <w:r w:rsidR="00C65142" w:rsidRPr="00C65142">
        <w:t xml:space="preserve">and </w:t>
      </w:r>
      <w:r w:rsidR="006F4059" w:rsidRPr="00C65142">
        <w:t xml:space="preserve">control </w:t>
      </w:r>
      <w:r w:rsidR="00C65142" w:rsidRPr="00C65142">
        <w:t xml:space="preserve">system </w:t>
      </w:r>
      <w:r w:rsidR="004725A3">
        <w:t>started</w:t>
      </w:r>
      <w:r>
        <w:t xml:space="preserve"> in 2018</w:t>
      </w:r>
      <w:r w:rsidR="004725A3">
        <w:t xml:space="preserve"> and was finished in </w:t>
      </w:r>
      <w:r w:rsidR="00023DAA">
        <w:t xml:space="preserve">30 January 2019 when </w:t>
      </w:r>
      <w:r w:rsidR="007F29A5">
        <w:t>a</w:t>
      </w:r>
      <w:r w:rsidR="007F29A5" w:rsidRPr="007F29A5">
        <w:t xml:space="preserve">s a result of the </w:t>
      </w:r>
      <w:r w:rsidR="007F29A5">
        <w:t>c</w:t>
      </w:r>
      <w:r w:rsidR="007F29A5" w:rsidRPr="007F29A5">
        <w:t xml:space="preserve">ompliance audit the Audit Authority </w:t>
      </w:r>
      <w:r w:rsidR="007F29A5">
        <w:t xml:space="preserve">concluded </w:t>
      </w:r>
      <w:r w:rsidR="007F29A5" w:rsidRPr="007F29A5">
        <w:t xml:space="preserve"> that the managem</w:t>
      </w:r>
      <w:r w:rsidR="00CD63E1">
        <w:t>ent and control systems of the Programme O</w:t>
      </w:r>
      <w:r w:rsidR="004A4096">
        <w:t>perator</w:t>
      </w:r>
      <w:r w:rsidR="007F29A5" w:rsidRPr="007F29A5">
        <w:t xml:space="preserve"> and Implementing Agency</w:t>
      </w:r>
      <w:r w:rsidR="007F29A5">
        <w:t>’s</w:t>
      </w:r>
      <w:r w:rsidR="007F29A5" w:rsidRPr="007F29A5">
        <w:t xml:space="preserve"> for </w:t>
      </w:r>
      <w:r w:rsidR="007F29A5">
        <w:t>the European Economic Area Financial Mechanism 2014-2021 Baltic research programme in Estonia covers all required functions and are in all material aspects proportional, effective and in compliance with generally accepted accounting principles in relation with achieving the objectives of the programme</w:t>
      </w:r>
      <w:r w:rsidR="007F29A5" w:rsidRPr="007F29A5">
        <w:t>.</w:t>
      </w:r>
    </w:p>
    <w:p w14:paraId="050FF0A0" w14:textId="77777777" w:rsidR="00505779" w:rsidRDefault="00505779" w:rsidP="006B7504"/>
    <w:p w14:paraId="050FF0A1" w14:textId="77777777" w:rsidR="00A574F9" w:rsidRPr="00A574F9" w:rsidRDefault="003C20F4" w:rsidP="006B7504">
      <w:pPr>
        <w:rPr>
          <w:rFonts w:eastAsiaTheme="majorEastAsia"/>
          <w:b/>
          <w:color w:val="2E74B5" w:themeColor="accent1" w:themeShade="BF"/>
        </w:rPr>
      </w:pPr>
      <w:r w:rsidRPr="00A574F9">
        <w:rPr>
          <w:rFonts w:eastAsiaTheme="majorEastAsia"/>
          <w:b/>
          <w:color w:val="2E74B5" w:themeColor="accent1" w:themeShade="BF"/>
        </w:rPr>
        <w:t xml:space="preserve">Outcome 1 </w:t>
      </w:r>
    </w:p>
    <w:p w14:paraId="050FF0A2" w14:textId="77777777" w:rsidR="00A574F9" w:rsidRPr="006B7504" w:rsidRDefault="00A574F9" w:rsidP="006B7504"/>
    <w:p w14:paraId="050FF0A3" w14:textId="77777777" w:rsidR="00695C9A" w:rsidRDefault="003C20F4" w:rsidP="00695C9A">
      <w:r>
        <w:t xml:space="preserve">Although </w:t>
      </w:r>
      <w:r w:rsidRPr="009D2D1C">
        <w:t xml:space="preserve">2018 </w:t>
      </w:r>
      <w:r w:rsidR="006B7504">
        <w:t>was,</w:t>
      </w:r>
      <w:r w:rsidRPr="009D2D1C">
        <w:t xml:space="preserve"> mostly a</w:t>
      </w:r>
      <w:r>
        <w:t xml:space="preserve"> year of</w:t>
      </w:r>
      <w:r w:rsidRPr="009D2D1C">
        <w:t xml:space="preserve"> preparation </w:t>
      </w:r>
      <w:r w:rsidR="004A4096">
        <w:t xml:space="preserve">of </w:t>
      </w:r>
      <w:r w:rsidR="00B363E3">
        <w:t>implementation</w:t>
      </w:r>
      <w:r w:rsidR="00D226C2">
        <w:t>,</w:t>
      </w:r>
      <w:r>
        <w:t xml:space="preserve"> </w:t>
      </w:r>
      <w:r w:rsidR="004A4096" w:rsidRPr="006B7504">
        <w:t>the Baltic Research Programme</w:t>
      </w:r>
      <w:r w:rsidR="00B363E3">
        <w:t xml:space="preserve"> managed to launch the first </w:t>
      </w:r>
      <w:r w:rsidR="006B7504" w:rsidRPr="006B7504">
        <w:t xml:space="preserve">open call for research collaboration </w:t>
      </w:r>
      <w:r w:rsidR="005D47F4">
        <w:t xml:space="preserve">and </w:t>
      </w:r>
      <w:r w:rsidR="00527F54">
        <w:t xml:space="preserve">organize </w:t>
      </w:r>
      <w:r w:rsidR="005D47F4">
        <w:t xml:space="preserve">matchmaking event </w:t>
      </w:r>
      <w:r w:rsidR="006B7504" w:rsidRPr="006B7504">
        <w:t>on 25</w:t>
      </w:r>
      <w:r w:rsidR="00DE14A8">
        <w:t> </w:t>
      </w:r>
      <w:r w:rsidR="006B7504" w:rsidRPr="006B7504">
        <w:t>October</w:t>
      </w:r>
      <w:r w:rsidR="006B7504">
        <w:t xml:space="preserve"> 2018. </w:t>
      </w:r>
      <w:r w:rsidR="006835C5">
        <w:t xml:space="preserve">Prior that </w:t>
      </w:r>
      <w:r w:rsidR="006835C5" w:rsidRPr="006835C5">
        <w:t>the Progr</w:t>
      </w:r>
      <w:r w:rsidR="006835C5">
        <w:t xml:space="preserve">amme Committee </w:t>
      </w:r>
      <w:r w:rsidR="006835C5" w:rsidRPr="006835C5">
        <w:t>of the Baltic Research Programme was formed</w:t>
      </w:r>
      <w:r w:rsidR="006835C5">
        <w:t xml:space="preserve"> in June 2018 </w:t>
      </w:r>
      <w:r w:rsidR="00C673A3">
        <w:t xml:space="preserve">and </w:t>
      </w:r>
      <w:r w:rsidR="00D21391" w:rsidRPr="00D21391">
        <w:t>gathered for the first meeting</w:t>
      </w:r>
      <w:r w:rsidR="006835C5">
        <w:t xml:space="preserve"> </w:t>
      </w:r>
      <w:r w:rsidR="00D21391">
        <w:t>on 29-30</w:t>
      </w:r>
      <w:r w:rsidR="006835C5">
        <w:t xml:space="preserve"> August 2018 in Tallinn. </w:t>
      </w:r>
      <w:r>
        <w:t xml:space="preserve">In 2018 call, the priority was given to the applications addressing the following challenges in the Baltic region: </w:t>
      </w:r>
    </w:p>
    <w:p w14:paraId="050FF0A4" w14:textId="77777777" w:rsidR="00695C9A" w:rsidRDefault="00695C9A" w:rsidP="00695C9A"/>
    <w:p w14:paraId="050FF0A5" w14:textId="77777777" w:rsidR="00695C9A" w:rsidRPr="00695C9A" w:rsidRDefault="003C20F4" w:rsidP="00FF1E48">
      <w:pPr>
        <w:pStyle w:val="ListParagraph"/>
        <w:numPr>
          <w:ilvl w:val="0"/>
          <w:numId w:val="6"/>
        </w:numPr>
        <w:ind w:left="993" w:hanging="284"/>
        <w:rPr>
          <w:rFonts w:asciiTheme="majorHAnsi" w:hAnsiTheme="majorHAnsi"/>
          <w:sz w:val="22"/>
          <w:szCs w:val="22"/>
        </w:rPr>
      </w:pPr>
      <w:r w:rsidRPr="00695C9A">
        <w:rPr>
          <w:rFonts w:asciiTheme="majorHAnsi" w:hAnsiTheme="majorHAnsi"/>
          <w:sz w:val="22"/>
          <w:szCs w:val="22"/>
        </w:rPr>
        <w:t>Public health; translational medicine; health technologies</w:t>
      </w:r>
    </w:p>
    <w:p w14:paraId="050FF0A6" w14:textId="77777777" w:rsidR="00695C9A" w:rsidRPr="00695C9A" w:rsidRDefault="003C20F4" w:rsidP="00FF1E48">
      <w:pPr>
        <w:pStyle w:val="ListParagraph"/>
        <w:numPr>
          <w:ilvl w:val="0"/>
          <w:numId w:val="6"/>
        </w:numPr>
        <w:ind w:left="993" w:hanging="284"/>
        <w:rPr>
          <w:rFonts w:asciiTheme="majorHAnsi" w:hAnsiTheme="majorHAnsi"/>
          <w:sz w:val="22"/>
          <w:szCs w:val="22"/>
        </w:rPr>
      </w:pPr>
      <w:r w:rsidRPr="00695C9A">
        <w:rPr>
          <w:rFonts w:asciiTheme="majorHAnsi" w:hAnsiTheme="majorHAnsi"/>
          <w:sz w:val="22"/>
          <w:szCs w:val="22"/>
        </w:rPr>
        <w:t>Migration; social inclusion</w:t>
      </w:r>
    </w:p>
    <w:p w14:paraId="050FF0A7" w14:textId="77777777" w:rsidR="00695C9A" w:rsidRPr="00695C9A" w:rsidRDefault="003C20F4" w:rsidP="00FF1E48">
      <w:pPr>
        <w:pStyle w:val="ListParagraph"/>
        <w:numPr>
          <w:ilvl w:val="0"/>
          <w:numId w:val="6"/>
        </w:numPr>
        <w:ind w:left="993" w:hanging="284"/>
        <w:rPr>
          <w:rFonts w:asciiTheme="majorHAnsi" w:hAnsiTheme="majorHAnsi"/>
          <w:sz w:val="22"/>
          <w:szCs w:val="22"/>
        </w:rPr>
      </w:pPr>
      <w:r w:rsidRPr="00695C9A">
        <w:rPr>
          <w:rFonts w:asciiTheme="majorHAnsi" w:hAnsiTheme="majorHAnsi"/>
          <w:sz w:val="22"/>
          <w:szCs w:val="22"/>
        </w:rPr>
        <w:lastRenderedPageBreak/>
        <w:t>Regional cyber security; public security</w:t>
      </w:r>
    </w:p>
    <w:p w14:paraId="050FF0A8" w14:textId="77777777" w:rsidR="00695C9A" w:rsidRPr="00695C9A" w:rsidRDefault="003C20F4" w:rsidP="00FF1E48">
      <w:pPr>
        <w:pStyle w:val="ListParagraph"/>
        <w:numPr>
          <w:ilvl w:val="0"/>
          <w:numId w:val="6"/>
        </w:numPr>
        <w:ind w:left="993" w:hanging="284"/>
        <w:rPr>
          <w:rFonts w:asciiTheme="majorHAnsi" w:hAnsiTheme="majorHAnsi"/>
          <w:sz w:val="22"/>
          <w:szCs w:val="22"/>
        </w:rPr>
      </w:pPr>
      <w:r w:rsidRPr="00695C9A">
        <w:rPr>
          <w:rFonts w:asciiTheme="majorHAnsi" w:hAnsiTheme="majorHAnsi"/>
          <w:sz w:val="22"/>
          <w:szCs w:val="22"/>
        </w:rPr>
        <w:t>Environmentally friendly solutions</w:t>
      </w:r>
    </w:p>
    <w:p w14:paraId="050FF0A9" w14:textId="77777777" w:rsidR="00695C9A" w:rsidRPr="00695C9A" w:rsidRDefault="003C20F4" w:rsidP="00FF1E48">
      <w:pPr>
        <w:pStyle w:val="ListParagraph"/>
        <w:numPr>
          <w:ilvl w:val="0"/>
          <w:numId w:val="6"/>
        </w:numPr>
        <w:ind w:left="993" w:hanging="284"/>
        <w:rPr>
          <w:rFonts w:asciiTheme="majorHAnsi" w:hAnsiTheme="majorHAnsi"/>
          <w:sz w:val="22"/>
          <w:szCs w:val="22"/>
        </w:rPr>
      </w:pPr>
      <w:r w:rsidRPr="00695C9A">
        <w:rPr>
          <w:rFonts w:asciiTheme="majorHAnsi" w:hAnsiTheme="majorHAnsi"/>
          <w:sz w:val="22"/>
          <w:szCs w:val="22"/>
        </w:rPr>
        <w:t>Regional economic development; employment; labour market regulations and social policy</w:t>
      </w:r>
    </w:p>
    <w:p w14:paraId="050FF0AA" w14:textId="77777777" w:rsidR="00695C9A" w:rsidRPr="00695C9A" w:rsidRDefault="003C20F4" w:rsidP="00FF1E48">
      <w:pPr>
        <w:pStyle w:val="ListParagraph"/>
        <w:numPr>
          <w:ilvl w:val="0"/>
          <w:numId w:val="6"/>
        </w:numPr>
        <w:ind w:left="993" w:hanging="284"/>
        <w:rPr>
          <w:rFonts w:asciiTheme="majorHAnsi" w:hAnsiTheme="majorHAnsi"/>
          <w:sz w:val="22"/>
          <w:szCs w:val="22"/>
        </w:rPr>
      </w:pPr>
      <w:r w:rsidRPr="00695C9A">
        <w:rPr>
          <w:rFonts w:asciiTheme="majorHAnsi" w:hAnsiTheme="majorHAnsi"/>
          <w:sz w:val="22"/>
          <w:szCs w:val="22"/>
        </w:rPr>
        <w:t>More effective use of resources</w:t>
      </w:r>
    </w:p>
    <w:p w14:paraId="050FF0AB" w14:textId="77777777" w:rsidR="00695C9A" w:rsidRDefault="00695C9A" w:rsidP="00695C9A"/>
    <w:p w14:paraId="050FF0AC" w14:textId="77777777" w:rsidR="00F8242A" w:rsidRDefault="003C20F4" w:rsidP="00695C9A">
      <w:r>
        <w:t>The</w:t>
      </w:r>
      <w:r w:rsidR="005D47F4">
        <w:t xml:space="preserve"> information about the call was widely disseminated and the</w:t>
      </w:r>
      <w:r>
        <w:t xml:space="preserve"> </w:t>
      </w:r>
      <w:r w:rsidR="005D47F4">
        <w:t xml:space="preserve">programmes </w:t>
      </w:r>
      <w:r>
        <w:t xml:space="preserve">launching and matchmaking event </w:t>
      </w:r>
      <w:r w:rsidR="005D47F4">
        <w:t>turned out to be</w:t>
      </w:r>
      <w:r>
        <w:t xml:space="preserve"> a great success as there were around 250 </w:t>
      </w:r>
      <w:r w:rsidR="005D47F4">
        <w:t xml:space="preserve">interested </w:t>
      </w:r>
      <w:r>
        <w:t xml:space="preserve">participants from Estonia, Latvia, Lithuania, and Norway. </w:t>
      </w:r>
      <w:r w:rsidR="00C65142" w:rsidRPr="00C65142">
        <w:t>The interest shown by the res</w:t>
      </w:r>
      <w:r w:rsidR="00C65142">
        <w:t>earch community stayed enormous</w:t>
      </w:r>
      <w:r w:rsidR="00C65142" w:rsidRPr="00C65142">
        <w:t xml:space="preserve"> and ended with the submission of 130 proposals by deadline</w:t>
      </w:r>
      <w:r w:rsidR="00C65142">
        <w:t xml:space="preserve"> </w:t>
      </w:r>
      <w:r w:rsidR="00C65142" w:rsidRPr="00F8242A">
        <w:t>31 January 2019</w:t>
      </w:r>
      <w:r w:rsidR="00C65142" w:rsidRPr="00C65142">
        <w:t xml:space="preserve">. </w:t>
      </w:r>
      <w:r w:rsidR="007F29A5">
        <w:t>T</w:t>
      </w:r>
      <w:r w:rsidR="00C65142" w:rsidRPr="00C65142">
        <w:t>he eligibility check</w:t>
      </w:r>
      <w:r w:rsidR="007F29A5">
        <w:t>s</w:t>
      </w:r>
      <w:r w:rsidR="00C65142" w:rsidRPr="00C65142">
        <w:t xml:space="preserve"> </w:t>
      </w:r>
      <w:r w:rsidR="007F29A5">
        <w:t xml:space="preserve">and </w:t>
      </w:r>
      <w:r w:rsidR="00C65142" w:rsidRPr="00C65142">
        <w:t>evaluation procedure</w:t>
      </w:r>
      <w:r w:rsidR="007F29A5">
        <w:t>s</w:t>
      </w:r>
      <w:r w:rsidR="00C65142" w:rsidRPr="00C65142">
        <w:t xml:space="preserve"> </w:t>
      </w:r>
      <w:r w:rsidR="00CD63E1">
        <w:t>had</w:t>
      </w:r>
      <w:r w:rsidR="007F29A5">
        <w:t xml:space="preserve"> not</w:t>
      </w:r>
      <w:r w:rsidR="00CD63E1">
        <w:t xml:space="preserve"> been</w:t>
      </w:r>
      <w:r w:rsidR="007F29A5">
        <w:t xml:space="preserve"> finished by </w:t>
      </w:r>
      <w:r w:rsidR="005B0399" w:rsidRPr="005B0399">
        <w:t>the time of reporting.</w:t>
      </w:r>
    </w:p>
    <w:p w14:paraId="050FF0AD" w14:textId="77777777" w:rsidR="007F29A5" w:rsidRPr="00A574F9" w:rsidRDefault="007F29A5" w:rsidP="00F32148">
      <w:pPr>
        <w:rPr>
          <w:rFonts w:eastAsiaTheme="majorEastAsia"/>
          <w:b/>
          <w:color w:val="2E74B5" w:themeColor="accent1" w:themeShade="BF"/>
        </w:rPr>
      </w:pPr>
    </w:p>
    <w:p w14:paraId="050FF0AE" w14:textId="77777777" w:rsidR="00A574F9" w:rsidRPr="00A574F9" w:rsidRDefault="003C20F4" w:rsidP="00F32148">
      <w:pPr>
        <w:rPr>
          <w:rFonts w:eastAsiaTheme="majorEastAsia"/>
          <w:b/>
          <w:color w:val="2E74B5" w:themeColor="accent1" w:themeShade="BF"/>
        </w:rPr>
      </w:pPr>
      <w:r w:rsidRPr="00A574F9">
        <w:rPr>
          <w:rFonts w:eastAsiaTheme="majorEastAsia"/>
          <w:b/>
          <w:color w:val="2E74B5" w:themeColor="accent1" w:themeShade="BF"/>
        </w:rPr>
        <w:t>Outcome 2</w:t>
      </w:r>
    </w:p>
    <w:p w14:paraId="050FF0AF" w14:textId="77777777" w:rsidR="00A574F9" w:rsidRDefault="00A574F9" w:rsidP="00F32148"/>
    <w:p w14:paraId="050FF0B0" w14:textId="77777777" w:rsidR="00F8242A" w:rsidRDefault="003C20F4" w:rsidP="0029718B">
      <w:r>
        <w:t xml:space="preserve">For </w:t>
      </w:r>
      <w:r w:rsidR="008C772A">
        <w:t>outcome 2 (</w:t>
      </w:r>
      <w:r>
        <w:t>higher education</w:t>
      </w:r>
      <w:r w:rsidR="008C772A">
        <w:t>) the year 2018 was mostly a</w:t>
      </w:r>
      <w:r w:rsidR="005A7AB5" w:rsidRPr="005A7AB5">
        <w:t xml:space="preserve"> preparatory year with a purpose to make all the necessary preparations and open the programme activities for higher education scholarships and two pre-defined projects</w:t>
      </w:r>
      <w:r w:rsidR="008F0C66">
        <w:t xml:space="preserve">. </w:t>
      </w:r>
      <w:r w:rsidR="008204D3">
        <w:t>T</w:t>
      </w:r>
      <w:r w:rsidR="008204D3" w:rsidRPr="008204D3">
        <w:t xml:space="preserve">he Cooperation Committee </w:t>
      </w:r>
      <w:r w:rsidR="006A1905">
        <w:t>was forme</w:t>
      </w:r>
      <w:r w:rsidR="008204D3" w:rsidRPr="008204D3">
        <w:t xml:space="preserve">d </w:t>
      </w:r>
      <w:r w:rsidR="008204D3">
        <w:t xml:space="preserve">in August 2018 and gathered for the first meeting </w:t>
      </w:r>
      <w:r w:rsidR="00695C9A">
        <w:t xml:space="preserve">on </w:t>
      </w:r>
      <w:r w:rsidR="008204D3">
        <w:t>10 January 2019</w:t>
      </w:r>
      <w:r w:rsidR="008204D3" w:rsidRPr="008204D3">
        <w:t xml:space="preserve">. </w:t>
      </w:r>
      <w:r w:rsidR="008204D3">
        <w:t>The</w:t>
      </w:r>
      <w:r w:rsidR="00695C9A">
        <w:t xml:space="preserve"> Cooperation Committee</w:t>
      </w:r>
      <w:r w:rsidR="008204D3">
        <w:t xml:space="preserve"> meeting was fruitful and enabled t</w:t>
      </w:r>
      <w:r w:rsidR="008F0C66">
        <w:t xml:space="preserve">he </w:t>
      </w:r>
      <w:r w:rsidR="00CD63E1">
        <w:t>Programme O</w:t>
      </w:r>
      <w:r w:rsidR="00C673A3">
        <w:t xml:space="preserve">perator in cooperation with Archimedes Foundation </w:t>
      </w:r>
      <w:r w:rsidR="008204D3">
        <w:t>to launch</w:t>
      </w:r>
      <w:r w:rsidR="00C673A3">
        <w:t xml:space="preserve"> the first call for proposals for cooperation projects in higher education and learning mobility projects within higher education</w:t>
      </w:r>
      <w:r w:rsidR="00C673A3" w:rsidRPr="00C673A3">
        <w:t xml:space="preserve"> </w:t>
      </w:r>
      <w:r w:rsidR="003A7A0A">
        <w:t>on 25</w:t>
      </w:r>
      <w:r w:rsidR="00DE14A8">
        <w:t> </w:t>
      </w:r>
      <w:r w:rsidR="003A7A0A">
        <w:t>February</w:t>
      </w:r>
      <w:r w:rsidR="00C673A3">
        <w:t xml:space="preserve"> 2019</w:t>
      </w:r>
      <w:r w:rsidR="006A1905">
        <w:t xml:space="preserve">. </w:t>
      </w:r>
      <w:r w:rsidR="00733ECF">
        <w:t xml:space="preserve">In total </w:t>
      </w:r>
      <w:r w:rsidR="003A7A0A">
        <w:t>1</w:t>
      </w:r>
      <w:r w:rsidR="00733ECF">
        <w:t>2</w:t>
      </w:r>
      <w:r w:rsidR="008F0C66" w:rsidRPr="008F0C66">
        <w:t xml:space="preserve"> </w:t>
      </w:r>
      <w:r w:rsidR="00733ECF">
        <w:t xml:space="preserve">eligible </w:t>
      </w:r>
      <w:r w:rsidR="008F0C66" w:rsidRPr="008F0C66">
        <w:t xml:space="preserve">project applications </w:t>
      </w:r>
      <w:r w:rsidR="00733ECF">
        <w:t xml:space="preserve">were submitted </w:t>
      </w:r>
      <w:r w:rsidR="008F0C66" w:rsidRPr="008F0C66">
        <w:t>by</w:t>
      </w:r>
      <w:r w:rsidR="00733ECF">
        <w:t xml:space="preserve"> the deadline</w:t>
      </w:r>
      <w:r w:rsidR="008F0C66" w:rsidRPr="008F0C66">
        <w:t xml:space="preserve"> </w:t>
      </w:r>
      <w:r w:rsidR="0084249B">
        <w:t xml:space="preserve">25 April 2019. </w:t>
      </w:r>
      <w:r w:rsidR="00733ECF">
        <w:t xml:space="preserve">Out of 12 applications, 10 were cooperation project and </w:t>
      </w:r>
      <w:r w:rsidR="00505779">
        <w:t>two</w:t>
      </w:r>
      <w:r w:rsidR="00733ECF">
        <w:t xml:space="preserve"> staff mobility applications. The topics of the projects varied greatly, they included language teaching, environmental awareness, technical and medical advancements, etc. </w:t>
      </w:r>
      <w:r w:rsidR="003A7A0A">
        <w:t>The s</w:t>
      </w:r>
      <w:r w:rsidR="003A7A0A" w:rsidRPr="003A7A0A">
        <w:t xml:space="preserve">election committee </w:t>
      </w:r>
      <w:r w:rsidR="003A7A0A">
        <w:t xml:space="preserve">gathered </w:t>
      </w:r>
      <w:r w:rsidR="00695C9A">
        <w:t>on 5</w:t>
      </w:r>
      <w:r w:rsidR="003A7A0A" w:rsidRPr="003A7A0A">
        <w:t xml:space="preserve"> Jul</w:t>
      </w:r>
      <w:r w:rsidR="003A7A0A">
        <w:t>y</w:t>
      </w:r>
      <w:r w:rsidR="00695C9A">
        <w:t xml:space="preserve"> 2019</w:t>
      </w:r>
      <w:r w:rsidR="00CD63E1">
        <w:t xml:space="preserve"> and </w:t>
      </w:r>
      <w:r w:rsidR="00733ECF">
        <w:t xml:space="preserve">decided to fund top </w:t>
      </w:r>
      <w:r w:rsidR="00505779">
        <w:t>four</w:t>
      </w:r>
      <w:r w:rsidR="00733ECF">
        <w:t xml:space="preserve"> applications in the ranking list. </w:t>
      </w:r>
      <w:r w:rsidR="0029718B">
        <w:t>Unfortunately,</w:t>
      </w:r>
      <w:r w:rsidR="00733ECF">
        <w:t xml:space="preserve"> </w:t>
      </w:r>
      <w:r w:rsidR="0029718B">
        <w:t>both</w:t>
      </w:r>
      <w:r w:rsidR="00733ECF" w:rsidRPr="00733ECF">
        <w:t xml:space="preserve"> mobility projects ranked </w:t>
      </w:r>
      <w:r w:rsidR="0029718B">
        <w:t xml:space="preserve">to the reserve list and therefore it was suggested to set aside a quota for mobility projects for next year since the programme is intended to achieve also this outcome. </w:t>
      </w:r>
    </w:p>
    <w:p w14:paraId="050FF0B1" w14:textId="77777777" w:rsidR="008204D3" w:rsidRDefault="008204D3" w:rsidP="00F32148"/>
    <w:p w14:paraId="050FF0B2" w14:textId="77777777" w:rsidR="008204D3" w:rsidRPr="00DE14A8" w:rsidRDefault="003C20F4" w:rsidP="00F32148">
      <w:pPr>
        <w:rPr>
          <w:i/>
          <w:color w:val="0070C0"/>
        </w:rPr>
      </w:pPr>
      <w:r w:rsidRPr="00DE14A8">
        <w:rPr>
          <w:i/>
          <w:color w:val="0070C0"/>
        </w:rPr>
        <w:t>Pre-defined project “Visiting lectureship of Norwegian language and literature at Tartu University”</w:t>
      </w:r>
    </w:p>
    <w:p w14:paraId="050FF0B3" w14:textId="77777777" w:rsidR="00744A5E" w:rsidRDefault="00744A5E" w:rsidP="00F32148">
      <w:pPr>
        <w:rPr>
          <w:i/>
        </w:rPr>
      </w:pPr>
    </w:p>
    <w:p w14:paraId="050FF0B4" w14:textId="6F40FA97" w:rsidR="00744A5E" w:rsidRPr="00535346" w:rsidRDefault="003C20F4" w:rsidP="00F32148">
      <w:r w:rsidRPr="00535346">
        <w:lastRenderedPageBreak/>
        <w:t xml:space="preserve">In the year 2018 the management of the College of Foreign Languages and Cultures, Professor of the Department of Scandinavian Studies, programme director and other staff members held seven different meetings during which they discussed the future of the curriculum of Norwegian language and literature and possible tasks and responsibilities of the lecturer of Norwegian language and literature. In the meetings, they prepared the vacancy notice, which received a </w:t>
      </w:r>
      <w:r w:rsidR="00505779" w:rsidRPr="00535346">
        <w:t>favourable</w:t>
      </w:r>
      <w:r w:rsidRPr="00535346">
        <w:t xml:space="preserve"> assessment from the administration of the University of Tartu. </w:t>
      </w:r>
      <w:r w:rsidR="00505779" w:rsidRPr="00535346">
        <w:t>In addition</w:t>
      </w:r>
      <w:r w:rsidRPr="00535346">
        <w:t>, the programme council of the college discussed the curriculum of Scandinavian studies and provided useful input for more effective development in the studies of Norwegian language and culture. The Vice Director of the college, Assistant to the Head and Programme Director of Scandinavian Studies met with the representatives of Estonian Ministry of Education and Research and the representatives of Norwegian partners to agree on the launch of said project.</w:t>
      </w:r>
    </w:p>
    <w:p w14:paraId="050FF0B5" w14:textId="77777777" w:rsidR="00A574F9" w:rsidRDefault="00A574F9" w:rsidP="00F32148"/>
    <w:p w14:paraId="050FF0BA" w14:textId="77777777" w:rsidR="00A574F9" w:rsidRPr="00A574F9" w:rsidRDefault="003C20F4" w:rsidP="00F32148">
      <w:pPr>
        <w:rPr>
          <w:rFonts w:eastAsiaTheme="majorEastAsia"/>
          <w:b/>
          <w:color w:val="2E74B5" w:themeColor="accent1" w:themeShade="BF"/>
        </w:rPr>
      </w:pPr>
      <w:r w:rsidRPr="00A574F9">
        <w:rPr>
          <w:rFonts w:eastAsiaTheme="majorEastAsia"/>
          <w:b/>
          <w:color w:val="2E74B5" w:themeColor="accent1" w:themeShade="BF"/>
        </w:rPr>
        <w:t>Outcome 3</w:t>
      </w:r>
    </w:p>
    <w:p w14:paraId="050FF0BB" w14:textId="77777777" w:rsidR="00A574F9" w:rsidRDefault="00A574F9" w:rsidP="00F32148"/>
    <w:p w14:paraId="050FF0BC" w14:textId="77777777" w:rsidR="00744A5E" w:rsidRPr="00DE14A8" w:rsidRDefault="003C20F4" w:rsidP="00A574F9">
      <w:pPr>
        <w:rPr>
          <w:i/>
          <w:color w:val="0070C0"/>
        </w:rPr>
      </w:pPr>
      <w:r w:rsidRPr="00DE14A8">
        <w:rPr>
          <w:i/>
          <w:color w:val="0070C0"/>
        </w:rPr>
        <w:t>Pre-defined project “Developing and enhancing the teaching quality of inclusive education curriculum”</w:t>
      </w:r>
    </w:p>
    <w:p w14:paraId="050FF0BD" w14:textId="77777777" w:rsidR="00744A5E" w:rsidRDefault="00744A5E" w:rsidP="00A574F9"/>
    <w:p w14:paraId="050FF0BE" w14:textId="77777777" w:rsidR="00A574F9" w:rsidRDefault="003C20F4" w:rsidP="00A574F9">
      <w:r>
        <w:t xml:space="preserve">In </w:t>
      </w:r>
      <w:r w:rsidR="00505779">
        <w:t>2018,</w:t>
      </w:r>
      <w:r>
        <w:t xml:space="preserve"> local working team from University of Tartu and Tallinn University </w:t>
      </w:r>
      <w:r w:rsidR="00744A5E">
        <w:t>was</w:t>
      </w:r>
      <w:r>
        <w:t xml:space="preserve"> formed and several joint meetings </w:t>
      </w:r>
      <w:r w:rsidR="00744A5E">
        <w:t>were</w:t>
      </w:r>
      <w:r>
        <w:t xml:space="preserve"> held to clarify the aim and objectives of the project and the role of both universities as the partners of the project.</w:t>
      </w:r>
      <w:r w:rsidR="00744A5E">
        <w:t xml:space="preserve"> </w:t>
      </w:r>
      <w:r>
        <w:t xml:space="preserve">The plan of long-term activities and the action plan for 2019 </w:t>
      </w:r>
      <w:r w:rsidR="00744A5E">
        <w:t>was</w:t>
      </w:r>
      <w:r>
        <w:t xml:space="preserve"> developed in close cooperation with Tallinn University.</w:t>
      </w:r>
      <w:r w:rsidR="00744A5E">
        <w:t xml:space="preserve"> </w:t>
      </w:r>
      <w:r>
        <w:t>Agreements on the scientific approach to the project activities have been developed and agreed between universities.</w:t>
      </w:r>
    </w:p>
    <w:p w14:paraId="2ADA5A1C" w14:textId="77777777" w:rsidR="008F76C6" w:rsidRDefault="008F76C6" w:rsidP="001602F6">
      <w:pPr>
        <w:spacing w:after="240"/>
      </w:pPr>
    </w:p>
    <w:p w14:paraId="3CE87E15" w14:textId="24868AC3" w:rsidR="00F12DDC" w:rsidRDefault="00F12DDC" w:rsidP="008F76C6">
      <w:pPr>
        <w:pStyle w:val="Heading1"/>
        <w:numPr>
          <w:ilvl w:val="1"/>
          <w:numId w:val="1"/>
        </w:numPr>
        <w:spacing w:before="0"/>
        <w:ind w:left="425" w:hanging="431"/>
        <w:rPr>
          <w:rFonts w:cstheme="majorHAnsi"/>
          <w:sz w:val="22"/>
          <w:szCs w:val="22"/>
        </w:rPr>
      </w:pPr>
      <w:r>
        <w:rPr>
          <w:rFonts w:cstheme="majorHAnsi"/>
          <w:sz w:val="22"/>
          <w:szCs w:val="22"/>
        </w:rPr>
        <w:t>EE-Innovation (Green ICT)</w:t>
      </w:r>
    </w:p>
    <w:p w14:paraId="7A1F798A" w14:textId="77777777" w:rsidR="00F12DDC" w:rsidRDefault="00F12DDC" w:rsidP="00F12DDC"/>
    <w:p w14:paraId="68BE0F26" w14:textId="77777777" w:rsidR="008F76C6" w:rsidRDefault="008F76C6" w:rsidP="008F76C6">
      <w:r>
        <w:t>EE-Innovation programme is operated by t</w:t>
      </w:r>
      <w:r w:rsidRPr="00E234CF">
        <w:t xml:space="preserve">he </w:t>
      </w:r>
      <w:r w:rsidRPr="00447E0E">
        <w:t>Ministry of Economic Affairs and Communications of Estonia</w:t>
      </w:r>
      <w:r>
        <w:t>. The</w:t>
      </w:r>
      <w:r w:rsidRPr="00E234CF">
        <w:t xml:space="preserve"> </w:t>
      </w:r>
      <w:r>
        <w:t>f</w:t>
      </w:r>
      <w:r w:rsidRPr="00E234CF">
        <w:t xml:space="preserve">oundation </w:t>
      </w:r>
      <w:r w:rsidRPr="00447E0E">
        <w:t xml:space="preserve">Enterprise Estonia </w:t>
      </w:r>
      <w:r>
        <w:t>is acting as implementing agency. The programme has one outcome - i</w:t>
      </w:r>
      <w:r w:rsidRPr="00447E0E">
        <w:t>ncreased competitiveness of Estonian companies within focus areas Green Industry Innovation, ICT and Welfare Technology</w:t>
      </w:r>
      <w:r>
        <w:t>.</w:t>
      </w:r>
    </w:p>
    <w:p w14:paraId="5E581605" w14:textId="77777777" w:rsidR="008F76C6" w:rsidRDefault="008F76C6" w:rsidP="008F76C6"/>
    <w:p w14:paraId="7451A943" w14:textId="77777777" w:rsidR="008F76C6" w:rsidRDefault="008F76C6" w:rsidP="008F76C6">
      <w:r>
        <w:t xml:space="preserve">The programme is </w:t>
      </w:r>
      <w:r w:rsidRPr="007F1B38">
        <w:t xml:space="preserve">financed by the </w:t>
      </w:r>
      <w:r>
        <w:t>Norwegian</w:t>
      </w:r>
      <w:r w:rsidRPr="007F1B38">
        <w:t xml:space="preserve"> Grants</w:t>
      </w:r>
      <w:r>
        <w:t xml:space="preserve"> and the maximum amount of programme grant is 23 000 000 euros and the t</w:t>
      </w:r>
      <w:r w:rsidRPr="00FD1B38">
        <w:t xml:space="preserve">otal budget of the programme </w:t>
      </w:r>
      <w:r w:rsidRPr="00FD1B38">
        <w:lastRenderedPageBreak/>
        <w:t xml:space="preserve">is </w:t>
      </w:r>
      <w:r>
        <w:t xml:space="preserve">27 058 </w:t>
      </w:r>
      <w:r w:rsidRPr="00350457">
        <w:t>824</w:t>
      </w:r>
      <w:r>
        <w:t xml:space="preserve"> </w:t>
      </w:r>
      <w:r w:rsidRPr="00FD1B38">
        <w:t>euros</w:t>
      </w:r>
      <w:r>
        <w:t xml:space="preserve">. </w:t>
      </w:r>
      <w:r w:rsidRPr="000545FE">
        <w:t>EE-</w:t>
      </w:r>
      <w:r>
        <w:t>Innovation programme agreement was signed on 26</w:t>
      </w:r>
      <w:r w:rsidRPr="00EB18F0">
        <w:t xml:space="preserve"> </w:t>
      </w:r>
      <w:r>
        <w:t>April</w:t>
      </w:r>
      <w:r w:rsidRPr="00EB18F0">
        <w:t xml:space="preserve"> 2018</w:t>
      </w:r>
      <w:r>
        <w:t>.</w:t>
      </w:r>
    </w:p>
    <w:p w14:paraId="7BD75B4F" w14:textId="77777777" w:rsidR="008F76C6" w:rsidRDefault="008F76C6" w:rsidP="008F76C6"/>
    <w:p w14:paraId="0FD6DC2A" w14:textId="77777777" w:rsidR="008F76C6" w:rsidRDefault="008F76C6" w:rsidP="008F76C6">
      <w:r w:rsidRPr="003203A4">
        <w:t xml:space="preserve">For the </w:t>
      </w:r>
      <w:r>
        <w:t>EE-Innovation programme,</w:t>
      </w:r>
      <w:r w:rsidRPr="003203A4">
        <w:t xml:space="preserve"> the setup of management and control system started in 2018 and was finished in </w:t>
      </w:r>
      <w:r w:rsidRPr="003F11C7">
        <w:t>25 January 2019</w:t>
      </w:r>
      <w:r w:rsidRPr="003203A4">
        <w:t xml:space="preserve"> when as a result of the compliance audit the Audit Authority concluded  that the management and control systems of the Programme Op</w:t>
      </w:r>
      <w:r>
        <w:t>erator and Implementing Agency</w:t>
      </w:r>
      <w:r w:rsidRPr="003203A4">
        <w:t xml:space="preserve"> for </w:t>
      </w:r>
      <w:r>
        <w:t>the implementation of the Norwegian Financial Mechanism 2014-2021 programme “Green ICT” in Estonia covers all required functions and are in all material aspects proportional, effective and in compliance with generally accepted accounting principles in relation with achieving the objectives of the programme.</w:t>
      </w:r>
    </w:p>
    <w:p w14:paraId="40C8F17A" w14:textId="77777777" w:rsidR="008F76C6" w:rsidRDefault="008F76C6" w:rsidP="008F76C6"/>
    <w:p w14:paraId="0344E39A" w14:textId="5EF91761" w:rsidR="008F76C6" w:rsidRDefault="008F76C6" w:rsidP="008F76C6">
      <w:r>
        <w:t>For the EE-Innovation programme, 2018 was mostly a year of preparation for implementing the programme. Although the small grants scheme was not opened</w:t>
      </w:r>
      <w:r w:rsidRPr="00C145A9">
        <w:t xml:space="preserve"> in 2018</w:t>
      </w:r>
      <w:r>
        <w:t xml:space="preserve">, the programme team managed to organize the </w:t>
      </w:r>
      <w:r w:rsidRPr="00C145A9">
        <w:t>programme-opening seminar</w:t>
      </w:r>
      <w:r>
        <w:t xml:space="preserve"> </w:t>
      </w:r>
      <w:r w:rsidRPr="00C145A9">
        <w:t xml:space="preserve">on </w:t>
      </w:r>
      <w:r>
        <w:t xml:space="preserve">15 </w:t>
      </w:r>
      <w:r w:rsidRPr="00C145A9">
        <w:t>October 2018</w:t>
      </w:r>
      <w:r>
        <w:t xml:space="preserve">. </w:t>
      </w:r>
      <w:r w:rsidRPr="003203A4">
        <w:t xml:space="preserve">Programme Operator and Implementing Agency in cooperation with Donor Programme Partner hosted 120 participants, of which </w:t>
      </w:r>
      <w:r>
        <w:t xml:space="preserve"> </w:t>
      </w:r>
      <w:r w:rsidRPr="003203A4">
        <w:t>20 originated from Norway. The seminar focused on Green ICT programme: the aim, focuses, activities, eligibility and application. Many participants used the opportunity to present their project ideas and exchange the expectations towards bilateral partnership with potential partners.</w:t>
      </w:r>
      <w:r>
        <w:t xml:space="preserve"> </w:t>
      </w:r>
    </w:p>
    <w:p w14:paraId="04DC2D44" w14:textId="77777777" w:rsidR="008F76C6" w:rsidRDefault="008F76C6" w:rsidP="008F76C6"/>
    <w:p w14:paraId="0DC14487" w14:textId="77777777" w:rsidR="008F76C6" w:rsidRDefault="008F76C6" w:rsidP="008F76C6">
      <w:r w:rsidRPr="00B73E4E">
        <w:t>In 2018, two Cooperation Committee meetings were organised. Cooperation Committee meetings focused on programme related topics, for example preparation of the open calls, eligibility issues, attracting companies towards the programme, bilateral events, etc. Some topics were under a more focused discussion, for example maximizing the bilateral effect of the programme through the events.</w:t>
      </w:r>
    </w:p>
    <w:p w14:paraId="4A6EA9B4" w14:textId="77777777" w:rsidR="008F76C6" w:rsidRDefault="008F76C6" w:rsidP="008F76C6"/>
    <w:p w14:paraId="1271319A" w14:textId="77777777" w:rsidR="008F76C6" w:rsidRDefault="008F76C6" w:rsidP="008F76C6">
      <w:r>
        <w:t>The small grants scheme was successfully launched</w:t>
      </w:r>
      <w:r w:rsidRPr="00C145A9">
        <w:t xml:space="preserve"> in March</w:t>
      </w:r>
      <w:r>
        <w:t xml:space="preserve"> 2019</w:t>
      </w:r>
      <w:r w:rsidRPr="00C145A9">
        <w:t xml:space="preserve"> and received 53 project applications by </w:t>
      </w:r>
      <w:r>
        <w:t>13 May 2019. All the small grants scheme</w:t>
      </w:r>
      <w:r w:rsidRPr="00C145A9">
        <w:t xml:space="preserve"> projects which will be financed are targeted to end before the end of 2019. Final reports and costs will be submitted for eligibility check by the end of 2019.</w:t>
      </w:r>
    </w:p>
    <w:p w14:paraId="1B889C97" w14:textId="77777777" w:rsidR="008F76C6" w:rsidRDefault="008F76C6" w:rsidP="008F76C6"/>
    <w:p w14:paraId="62EC16CF" w14:textId="77777777" w:rsidR="008F76C6" w:rsidRDefault="008F76C6" w:rsidP="008F76C6">
      <w:r w:rsidRPr="005820EA">
        <w:t xml:space="preserve">Programme agreement Annex II set the operational rules for the programme. In point 4.2 “Selection procedures” states that applications submitted under the </w:t>
      </w:r>
      <w:r w:rsidRPr="005820EA">
        <w:lastRenderedPageBreak/>
        <w:t xml:space="preserve">open call and small grant scheme are assessed in accordance with Article 7.4 of the Regulation, but the programme agreement shall be amended following submission of the summary description of the procedure for the selection of projects to the NMFA. In the second half of 2018, selection procedures </w:t>
      </w:r>
      <w:r>
        <w:t>were</w:t>
      </w:r>
      <w:r w:rsidRPr="005820EA">
        <w:t xml:space="preserve"> a topic under ongoing discussions towards the amendment of the Annex II</w:t>
      </w:r>
      <w:r>
        <w:t>. As a result of the discussions, it was possible to open t</w:t>
      </w:r>
      <w:r w:rsidRPr="005820EA">
        <w:t>he small grant scheme in</w:t>
      </w:r>
      <w:r>
        <w:t xml:space="preserve"> March</w:t>
      </w:r>
      <w:r w:rsidRPr="005820EA">
        <w:t xml:space="preserve"> 2019.</w:t>
      </w:r>
    </w:p>
    <w:p w14:paraId="2061211E" w14:textId="77777777" w:rsidR="008F76C6" w:rsidRPr="006B7504" w:rsidRDefault="008F76C6" w:rsidP="001602F6">
      <w:pPr>
        <w:spacing w:after="240"/>
      </w:pPr>
    </w:p>
    <w:p w14:paraId="050FF0BF" w14:textId="77777777" w:rsidR="005D47F4" w:rsidRPr="005D47F4" w:rsidRDefault="003C20F4" w:rsidP="008F76C6">
      <w:pPr>
        <w:pStyle w:val="Heading1"/>
        <w:numPr>
          <w:ilvl w:val="1"/>
          <w:numId w:val="1"/>
        </w:numPr>
        <w:spacing w:before="0"/>
        <w:ind w:left="425" w:hanging="431"/>
        <w:rPr>
          <w:rFonts w:cstheme="majorHAnsi"/>
          <w:sz w:val="22"/>
          <w:szCs w:val="22"/>
        </w:rPr>
      </w:pPr>
      <w:r w:rsidRPr="007F29A5">
        <w:rPr>
          <w:rFonts w:cstheme="majorHAnsi"/>
          <w:sz w:val="22"/>
          <w:szCs w:val="22"/>
        </w:rPr>
        <w:t>EE-L</w:t>
      </w:r>
      <w:r>
        <w:rPr>
          <w:rFonts w:cstheme="majorHAnsi"/>
          <w:sz w:val="22"/>
          <w:szCs w:val="22"/>
        </w:rPr>
        <w:t>ocaldev</w:t>
      </w:r>
      <w:r w:rsidRPr="007F29A5">
        <w:rPr>
          <w:rFonts w:cstheme="majorHAnsi"/>
          <w:sz w:val="22"/>
          <w:szCs w:val="22"/>
        </w:rPr>
        <w:t xml:space="preserve"> </w:t>
      </w:r>
      <w:r w:rsidRPr="005D47F4">
        <w:rPr>
          <w:rFonts w:cstheme="majorHAnsi"/>
          <w:sz w:val="22"/>
          <w:szCs w:val="22"/>
        </w:rPr>
        <w:t>(</w:t>
      </w:r>
      <w:r w:rsidR="00E3596C">
        <w:rPr>
          <w:rFonts w:cstheme="majorHAnsi"/>
          <w:sz w:val="22"/>
          <w:szCs w:val="22"/>
        </w:rPr>
        <w:t>Local Development and Poverty Reduction programme</w:t>
      </w:r>
      <w:r w:rsidRPr="005D47F4">
        <w:rPr>
          <w:rFonts w:cstheme="majorHAnsi"/>
          <w:sz w:val="22"/>
          <w:szCs w:val="22"/>
        </w:rPr>
        <w:t>)</w:t>
      </w:r>
    </w:p>
    <w:p w14:paraId="050FF0C0" w14:textId="77777777" w:rsidR="005D47F4" w:rsidRPr="005D47F4" w:rsidRDefault="005D47F4" w:rsidP="005D47F4">
      <w:pPr>
        <w:pStyle w:val="ListParagraph"/>
        <w:ind w:left="792"/>
        <w:rPr>
          <w:rFonts w:eastAsiaTheme="majorEastAsia"/>
          <w:b/>
          <w:color w:val="2E74B5" w:themeColor="accent1" w:themeShade="BF"/>
        </w:rPr>
      </w:pPr>
    </w:p>
    <w:p w14:paraId="050FF0C1" w14:textId="77777777" w:rsidR="00F23B0F" w:rsidRDefault="003C20F4" w:rsidP="00F32148">
      <w:r w:rsidRPr="00111BE7">
        <w:t>EE-</w:t>
      </w:r>
      <w:r w:rsidR="005B0399">
        <w:t>Localdev</w:t>
      </w:r>
      <w:r w:rsidRPr="00111BE7">
        <w:t xml:space="preserve"> programme is operated by the Ministry of </w:t>
      </w:r>
      <w:r w:rsidR="005B0399">
        <w:t>Social</w:t>
      </w:r>
      <w:r w:rsidR="0058148A">
        <w:t xml:space="preserve"> Affairs</w:t>
      </w:r>
      <w:r w:rsidR="005B0399">
        <w:t xml:space="preserve">. State Shared Service Centre </w:t>
      </w:r>
      <w:r w:rsidR="00E3596C">
        <w:t>is acting as Implementing A</w:t>
      </w:r>
      <w:r>
        <w:t>gency</w:t>
      </w:r>
      <w:r w:rsidRPr="00111BE7">
        <w:t xml:space="preserve">. The programme has </w:t>
      </w:r>
      <w:r w:rsidR="00FF1E48">
        <w:t>four</w:t>
      </w:r>
      <w:r w:rsidRPr="00111BE7">
        <w:t xml:space="preserve"> outcomes</w:t>
      </w:r>
      <w:r w:rsidR="00FF1E48">
        <w:t>:</w:t>
      </w:r>
    </w:p>
    <w:p w14:paraId="050FF0C2" w14:textId="77777777" w:rsidR="00FF1E48" w:rsidRPr="00FF1E48" w:rsidRDefault="00FF1E48" w:rsidP="00FF1E48">
      <w:pPr>
        <w:pStyle w:val="ListParagraph"/>
        <w:numPr>
          <w:ilvl w:val="0"/>
          <w:numId w:val="9"/>
        </w:numPr>
        <w:rPr>
          <w:rFonts w:asciiTheme="majorHAnsi" w:hAnsiTheme="majorHAnsi"/>
          <w:sz w:val="22"/>
          <w:szCs w:val="22"/>
        </w:rPr>
      </w:pPr>
      <w:r w:rsidRPr="00FF1E48">
        <w:rPr>
          <w:rFonts w:asciiTheme="majorHAnsi" w:hAnsiTheme="majorHAnsi"/>
          <w:sz w:val="22"/>
          <w:szCs w:val="22"/>
        </w:rPr>
        <w:t>Enhanced wellbeing of children and youth;</w:t>
      </w:r>
    </w:p>
    <w:p w14:paraId="050FF0C3" w14:textId="77777777" w:rsidR="00FF1E48" w:rsidRPr="00FF1E48" w:rsidRDefault="00FF1E48" w:rsidP="00FF1E48">
      <w:pPr>
        <w:pStyle w:val="ListParagraph"/>
        <w:numPr>
          <w:ilvl w:val="0"/>
          <w:numId w:val="9"/>
        </w:numPr>
        <w:rPr>
          <w:rFonts w:asciiTheme="majorHAnsi" w:hAnsiTheme="majorHAnsi"/>
          <w:sz w:val="22"/>
          <w:szCs w:val="22"/>
        </w:rPr>
      </w:pPr>
      <w:r w:rsidRPr="00FF1E48">
        <w:rPr>
          <w:rFonts w:asciiTheme="majorHAnsi" w:hAnsiTheme="majorHAnsi"/>
          <w:sz w:val="22"/>
          <w:szCs w:val="22"/>
        </w:rPr>
        <w:t>Reduced domestic and gender-based violence and gender inequalities;</w:t>
      </w:r>
    </w:p>
    <w:p w14:paraId="050FF0C4" w14:textId="77777777" w:rsidR="00FF1E48" w:rsidRPr="00FF1E48" w:rsidRDefault="00FF1E48" w:rsidP="00FF1E48">
      <w:pPr>
        <w:pStyle w:val="ListParagraph"/>
        <w:numPr>
          <w:ilvl w:val="0"/>
          <w:numId w:val="9"/>
        </w:numPr>
        <w:rPr>
          <w:rFonts w:asciiTheme="majorHAnsi" w:hAnsiTheme="majorHAnsi"/>
          <w:sz w:val="22"/>
          <w:szCs w:val="22"/>
        </w:rPr>
      </w:pPr>
      <w:r w:rsidRPr="00FF1E48">
        <w:rPr>
          <w:rFonts w:asciiTheme="majorHAnsi" w:hAnsiTheme="majorHAnsi"/>
          <w:sz w:val="22"/>
          <w:szCs w:val="22"/>
        </w:rPr>
        <w:t>Improved prevention and reduced inequalities in health;</w:t>
      </w:r>
    </w:p>
    <w:p w14:paraId="050FF0C5" w14:textId="77777777" w:rsidR="00FF1E48" w:rsidRPr="00FF1E48" w:rsidRDefault="00FF1E48" w:rsidP="00FF1E48">
      <w:pPr>
        <w:pStyle w:val="ListParagraph"/>
        <w:numPr>
          <w:ilvl w:val="0"/>
          <w:numId w:val="9"/>
        </w:numPr>
        <w:rPr>
          <w:rFonts w:asciiTheme="majorHAnsi" w:hAnsiTheme="majorHAnsi"/>
          <w:sz w:val="22"/>
          <w:szCs w:val="22"/>
        </w:rPr>
      </w:pPr>
      <w:r w:rsidRPr="00FF1E48">
        <w:rPr>
          <w:rFonts w:asciiTheme="majorHAnsi" w:hAnsiTheme="majorHAnsi"/>
          <w:sz w:val="22"/>
          <w:szCs w:val="22"/>
        </w:rPr>
        <w:t>Historic town centres revitalised through heritage-based local development</w:t>
      </w:r>
    </w:p>
    <w:p w14:paraId="050FF0C6" w14:textId="77777777" w:rsidR="00F23B0F" w:rsidRDefault="00F23B0F" w:rsidP="00F32148"/>
    <w:p w14:paraId="050FF0C7" w14:textId="263A29C5" w:rsidR="005E55F7" w:rsidRDefault="00FF1E48" w:rsidP="00F32148">
      <w:r w:rsidRPr="00FF1E48">
        <w:t xml:space="preserve">The programme is financed </w:t>
      </w:r>
      <w:r w:rsidR="008F76C6">
        <w:t xml:space="preserve">both </w:t>
      </w:r>
      <w:r w:rsidRPr="00FF1E48">
        <w:t>by the EEA</w:t>
      </w:r>
      <w:r w:rsidR="008F76C6">
        <w:t xml:space="preserve"> and Norwegian</w:t>
      </w:r>
      <w:r w:rsidRPr="00FF1E48">
        <w:t xml:space="preserve"> Grants and the maximum amount of programme grant is </w:t>
      </w:r>
      <w:r>
        <w:t>1</w:t>
      </w:r>
      <w:r w:rsidR="008F76C6">
        <w:t>8</w:t>
      </w:r>
      <w:r>
        <w:t> </w:t>
      </w:r>
      <w:r w:rsidR="008F76C6">
        <w:t>0</w:t>
      </w:r>
      <w:r w:rsidRPr="00FF1E48">
        <w:t>00</w:t>
      </w:r>
      <w:r>
        <w:t> </w:t>
      </w:r>
      <w:r w:rsidRPr="00FF1E48">
        <w:t xml:space="preserve">000 euros and the total budget of the programme is </w:t>
      </w:r>
      <w:r>
        <w:t>21 176 </w:t>
      </w:r>
      <w:r w:rsidRPr="00FF1E48">
        <w:t>470</w:t>
      </w:r>
      <w:r>
        <w:t xml:space="preserve"> euros. </w:t>
      </w:r>
      <w:r w:rsidR="00905E9F">
        <w:t>The concept note of the EE-Localdev programme</w:t>
      </w:r>
      <w:r w:rsidR="003C20F4">
        <w:t xml:space="preserve"> </w:t>
      </w:r>
      <w:r w:rsidR="00905E9F">
        <w:t>was</w:t>
      </w:r>
      <w:r w:rsidR="003C20F4">
        <w:t xml:space="preserve"> approved by</w:t>
      </w:r>
      <w:r w:rsidR="00535346">
        <w:t xml:space="preserve"> donors </w:t>
      </w:r>
      <w:r w:rsidR="00905E9F">
        <w:t>on 7 March 2018. The</w:t>
      </w:r>
      <w:r w:rsidR="007C2AC1">
        <w:t xml:space="preserve"> donors have</w:t>
      </w:r>
      <w:r w:rsidR="00505779">
        <w:t xml:space="preserve"> also</w:t>
      </w:r>
      <w:r w:rsidR="007C2AC1">
        <w:t xml:space="preserve"> approved</w:t>
      </w:r>
      <w:r w:rsidR="00535346">
        <w:t xml:space="preserve"> </w:t>
      </w:r>
      <w:r w:rsidR="007C2AC1">
        <w:t xml:space="preserve">the </w:t>
      </w:r>
      <w:r w:rsidR="00535346">
        <w:t>programme agreement</w:t>
      </w:r>
      <w:r w:rsidR="003C20F4">
        <w:t xml:space="preserve"> </w:t>
      </w:r>
      <w:r w:rsidR="001F7E74" w:rsidRPr="001F7E74">
        <w:t>and the signature procedure</w:t>
      </w:r>
      <w:r w:rsidR="007C2AC1">
        <w:t xml:space="preserve"> </w:t>
      </w:r>
      <w:r w:rsidR="00505779">
        <w:t>in in process</w:t>
      </w:r>
      <w:r w:rsidR="005D47F4">
        <w:t xml:space="preserve">. </w:t>
      </w:r>
    </w:p>
    <w:p w14:paraId="050FF0C8" w14:textId="77777777" w:rsidR="005E55F7" w:rsidRDefault="005E55F7" w:rsidP="00F32148"/>
    <w:p w14:paraId="050FF0C9" w14:textId="77777777" w:rsidR="0031496A" w:rsidRDefault="005E55F7" w:rsidP="00E3596C">
      <w:r w:rsidRPr="005E55F7">
        <w:t xml:space="preserve">For the </w:t>
      </w:r>
      <w:r>
        <w:t>EE-Localdev</w:t>
      </w:r>
      <w:r w:rsidR="001F7E74">
        <w:t xml:space="preserve"> programme</w:t>
      </w:r>
      <w:r w:rsidRPr="005E55F7">
        <w:t xml:space="preserve"> the setup of management and control system starte</w:t>
      </w:r>
      <w:r w:rsidR="00E3596C">
        <w:t>d in 2018 and was finished in 5 Jul</w:t>
      </w:r>
      <w:r w:rsidRPr="005E55F7">
        <w:t>y 2019 when as a result of the compliance audit the Audit Authority concluded  that the management and control systems of the Programme Op</w:t>
      </w:r>
      <w:r w:rsidR="00E3596C">
        <w:t>erator and Implementing Agency</w:t>
      </w:r>
      <w:r w:rsidRPr="005E55F7">
        <w:t xml:space="preserve"> for </w:t>
      </w:r>
      <w:r w:rsidR="00E3596C">
        <w:t>the implementation of the European Economic Area and Norwegian Financial Mechanisms 2014-2021 programme “Local Development and Poverty Reduction” in Estonia covers all required functions and are in all material aspects proportional, effective and in compliance with generally accepted accounting principles in relation with achieving the objectives of the programme.</w:t>
      </w:r>
    </w:p>
    <w:p w14:paraId="050FF0CA" w14:textId="77777777" w:rsidR="0031496A" w:rsidRPr="0031496A" w:rsidRDefault="0031496A" w:rsidP="001602F6">
      <w:pPr>
        <w:pStyle w:val="ListParagraph"/>
        <w:spacing w:after="240"/>
        <w:ind w:left="357"/>
        <w:rPr>
          <w:rFonts w:asciiTheme="majorHAnsi" w:eastAsiaTheme="majorEastAsia" w:hAnsiTheme="majorHAnsi"/>
          <w:b/>
          <w:color w:val="2E74B5" w:themeColor="accent1" w:themeShade="BF"/>
          <w:sz w:val="22"/>
          <w:szCs w:val="22"/>
          <w:lang w:eastAsia="en-US"/>
        </w:rPr>
      </w:pPr>
    </w:p>
    <w:p w14:paraId="050FF0CB" w14:textId="77777777" w:rsidR="00D668B1" w:rsidRPr="00D668B1" w:rsidRDefault="0031496A" w:rsidP="00D668B1">
      <w:pPr>
        <w:pStyle w:val="ListParagraph"/>
        <w:numPr>
          <w:ilvl w:val="1"/>
          <w:numId w:val="10"/>
        </w:numPr>
        <w:rPr>
          <w:rFonts w:eastAsiaTheme="majorEastAsia"/>
          <w:b/>
          <w:color w:val="2E74B5" w:themeColor="accent1" w:themeShade="BF"/>
        </w:rPr>
      </w:pPr>
      <w:r w:rsidRPr="0031496A">
        <w:rPr>
          <w:rFonts w:asciiTheme="majorHAnsi" w:eastAsiaTheme="majorEastAsia" w:hAnsiTheme="majorHAnsi"/>
          <w:b/>
          <w:color w:val="2E74B5" w:themeColor="accent1" w:themeShade="BF"/>
          <w:sz w:val="22"/>
          <w:szCs w:val="22"/>
          <w:lang w:eastAsia="en-US"/>
        </w:rPr>
        <w:lastRenderedPageBreak/>
        <w:t xml:space="preserve">  EE-Climate</w:t>
      </w:r>
      <w:r w:rsidR="00D668B1">
        <w:rPr>
          <w:rFonts w:asciiTheme="majorHAnsi" w:eastAsiaTheme="majorEastAsia" w:hAnsiTheme="majorHAnsi"/>
          <w:b/>
          <w:color w:val="2E74B5" w:themeColor="accent1" w:themeShade="BF"/>
          <w:sz w:val="22"/>
          <w:szCs w:val="22"/>
          <w:lang w:eastAsia="en-US"/>
        </w:rPr>
        <w:t xml:space="preserve"> (</w:t>
      </w:r>
      <w:r w:rsidR="00D668B1" w:rsidRPr="00D668B1">
        <w:rPr>
          <w:rFonts w:asciiTheme="majorHAnsi" w:eastAsiaTheme="majorEastAsia" w:hAnsiTheme="majorHAnsi"/>
          <w:b/>
          <w:color w:val="2E74B5" w:themeColor="accent1" w:themeShade="BF"/>
          <w:sz w:val="22"/>
          <w:szCs w:val="22"/>
          <w:lang w:eastAsia="en-US"/>
        </w:rPr>
        <w:t>Climate Change Mitigation and Adaptation</w:t>
      </w:r>
      <w:r w:rsidR="00D668B1">
        <w:rPr>
          <w:rFonts w:asciiTheme="majorHAnsi" w:eastAsiaTheme="majorEastAsia" w:hAnsiTheme="majorHAnsi"/>
          <w:b/>
          <w:color w:val="2E74B5" w:themeColor="accent1" w:themeShade="BF"/>
          <w:sz w:val="22"/>
          <w:szCs w:val="22"/>
          <w:lang w:eastAsia="en-US"/>
        </w:rPr>
        <w:t xml:space="preserve"> programme)</w:t>
      </w:r>
    </w:p>
    <w:p w14:paraId="050FF0CC" w14:textId="77777777" w:rsidR="00D668B1" w:rsidRDefault="00D668B1" w:rsidP="00D668B1"/>
    <w:p w14:paraId="050FF0CD" w14:textId="77777777" w:rsidR="00D668B1" w:rsidRPr="00D668B1" w:rsidRDefault="00D668B1" w:rsidP="00D668B1">
      <w:r>
        <w:t>EE-Climate</w:t>
      </w:r>
      <w:r w:rsidRPr="00D668B1">
        <w:t xml:space="preserve"> programme is operated by the Ministry of </w:t>
      </w:r>
      <w:r>
        <w:t>the Environment</w:t>
      </w:r>
      <w:r w:rsidRPr="00D668B1">
        <w:t xml:space="preserve">. The foundation Environmental Investment Centre is acting as Implementing Agency. The programme has </w:t>
      </w:r>
      <w:r>
        <w:t>three</w:t>
      </w:r>
      <w:r w:rsidRPr="00D668B1">
        <w:t xml:space="preserve"> outcomes:</w:t>
      </w:r>
    </w:p>
    <w:p w14:paraId="050FF0CE" w14:textId="77777777" w:rsidR="00D668B1" w:rsidRPr="00D668B1" w:rsidRDefault="00D668B1" w:rsidP="00D668B1">
      <w:pPr>
        <w:pStyle w:val="ListParagraph"/>
        <w:numPr>
          <w:ilvl w:val="0"/>
          <w:numId w:val="11"/>
        </w:numPr>
        <w:rPr>
          <w:rFonts w:asciiTheme="majorHAnsi" w:eastAsiaTheme="majorEastAsia" w:hAnsiTheme="majorHAnsi"/>
          <w:b/>
          <w:color w:val="2E74B5" w:themeColor="accent1" w:themeShade="BF"/>
          <w:sz w:val="22"/>
          <w:szCs w:val="22"/>
        </w:rPr>
      </w:pPr>
      <w:r w:rsidRPr="00D668B1">
        <w:rPr>
          <w:rFonts w:asciiTheme="majorHAnsi" w:hAnsiTheme="majorHAnsi"/>
          <w:sz w:val="22"/>
          <w:szCs w:val="22"/>
        </w:rPr>
        <w:t>Ecosystem resilience increased;</w:t>
      </w:r>
    </w:p>
    <w:p w14:paraId="050FF0CF" w14:textId="77777777" w:rsidR="00D668B1" w:rsidRPr="00D668B1" w:rsidRDefault="00D668B1" w:rsidP="00D668B1">
      <w:pPr>
        <w:pStyle w:val="ListParagraph"/>
        <w:numPr>
          <w:ilvl w:val="0"/>
          <w:numId w:val="11"/>
        </w:numPr>
        <w:rPr>
          <w:rFonts w:asciiTheme="majorHAnsi" w:hAnsiTheme="majorHAnsi"/>
          <w:sz w:val="22"/>
          <w:szCs w:val="22"/>
        </w:rPr>
      </w:pPr>
      <w:r w:rsidRPr="00D668B1">
        <w:rPr>
          <w:rFonts w:asciiTheme="majorHAnsi" w:hAnsiTheme="majorHAnsi"/>
          <w:sz w:val="22"/>
          <w:szCs w:val="22"/>
        </w:rPr>
        <w:t>Increased ability at the local level to reduce emissions and adapt to a changing climate;</w:t>
      </w:r>
    </w:p>
    <w:p w14:paraId="050FF0D0" w14:textId="77777777" w:rsidR="00D668B1" w:rsidRDefault="00D668B1" w:rsidP="00D668B1">
      <w:pPr>
        <w:pStyle w:val="ListParagraph"/>
        <w:numPr>
          <w:ilvl w:val="0"/>
          <w:numId w:val="11"/>
        </w:numPr>
      </w:pPr>
      <w:r w:rsidRPr="00D668B1">
        <w:rPr>
          <w:rFonts w:asciiTheme="majorHAnsi" w:hAnsiTheme="majorHAnsi"/>
          <w:sz w:val="22"/>
          <w:szCs w:val="22"/>
        </w:rPr>
        <w:t>Framework for Circular Economy strengthened</w:t>
      </w:r>
      <w:r>
        <w:rPr>
          <w:rFonts w:asciiTheme="majorHAnsi" w:hAnsiTheme="majorHAnsi"/>
          <w:sz w:val="22"/>
          <w:szCs w:val="22"/>
        </w:rPr>
        <w:t>.</w:t>
      </w:r>
      <w:r w:rsidRPr="00D668B1">
        <w:t xml:space="preserve"> </w:t>
      </w:r>
    </w:p>
    <w:p w14:paraId="050FF0D1" w14:textId="77777777" w:rsidR="00D668B1" w:rsidRDefault="00D668B1" w:rsidP="00D668B1"/>
    <w:p w14:paraId="050FF0D2" w14:textId="77777777" w:rsidR="00530B5C" w:rsidRDefault="00D668B1" w:rsidP="00D668B1">
      <w:r w:rsidRPr="00D668B1">
        <w:t>The programme is financed by the EEA Grants and the maximum</w:t>
      </w:r>
      <w:r>
        <w:t xml:space="preserve"> amount of programme grant is </w:t>
      </w:r>
      <w:r w:rsidRPr="00D668B1">
        <w:t>6</w:t>
      </w:r>
      <w:r>
        <w:t> </w:t>
      </w:r>
      <w:r w:rsidRPr="00D668B1">
        <w:t>00</w:t>
      </w:r>
      <w:r>
        <w:t>0 </w:t>
      </w:r>
      <w:r w:rsidRPr="00D668B1">
        <w:t xml:space="preserve">000 euros and the total budget of the programme is </w:t>
      </w:r>
      <w:r>
        <w:t>7 058 </w:t>
      </w:r>
      <w:r w:rsidRPr="00D668B1">
        <w:t>824</w:t>
      </w:r>
      <w:r>
        <w:t xml:space="preserve"> </w:t>
      </w:r>
      <w:r w:rsidRPr="00D668B1">
        <w:t>euros. The concept note of the EE-</w:t>
      </w:r>
      <w:r>
        <w:t xml:space="preserve">Climate </w:t>
      </w:r>
      <w:r w:rsidRPr="00D668B1">
        <w:t xml:space="preserve">programme was approved by donors on </w:t>
      </w:r>
      <w:r w:rsidR="00530B5C">
        <w:t>11</w:t>
      </w:r>
      <w:r w:rsidRPr="00D668B1">
        <w:t xml:space="preserve"> </w:t>
      </w:r>
      <w:r w:rsidR="00530B5C">
        <w:t>February 2019</w:t>
      </w:r>
      <w:r w:rsidRPr="00D668B1">
        <w:t xml:space="preserve">. The donors have approved the programme agreement and the signature procedure has been started. </w:t>
      </w:r>
    </w:p>
    <w:p w14:paraId="050FF0D3" w14:textId="77777777" w:rsidR="00530B5C" w:rsidRDefault="00530B5C" w:rsidP="00D668B1"/>
    <w:p w14:paraId="050FF0D4" w14:textId="77777777" w:rsidR="005B0658" w:rsidRPr="00D668B1" w:rsidRDefault="00530B5C" w:rsidP="00D668B1">
      <w:pPr>
        <w:rPr>
          <w:rFonts w:eastAsia="MS Mincho"/>
          <w:color w:val="000000"/>
        </w:rPr>
      </w:pPr>
      <w:r w:rsidRPr="00530B5C">
        <w:t>For the EE-</w:t>
      </w:r>
      <w:r>
        <w:t>Climate</w:t>
      </w:r>
      <w:r w:rsidRPr="00530B5C">
        <w:t xml:space="preserve"> programme the setup of management and control system started </w:t>
      </w:r>
      <w:r>
        <w:t xml:space="preserve">at the first quarter of 2019 but due to the </w:t>
      </w:r>
      <w:r w:rsidRPr="00530B5C">
        <w:t xml:space="preserve">structural changes in the Ministry of the Environment, </w:t>
      </w:r>
      <w:r>
        <w:t xml:space="preserve">they </w:t>
      </w:r>
      <w:r w:rsidRPr="00530B5C">
        <w:t>need</w:t>
      </w:r>
      <w:r>
        <w:t>ed</w:t>
      </w:r>
      <w:r w:rsidRPr="00530B5C">
        <w:t xml:space="preserve"> some extra time to redesign </w:t>
      </w:r>
      <w:r>
        <w:t>the</w:t>
      </w:r>
      <w:r w:rsidRPr="00530B5C">
        <w:t xml:space="preserve"> programme implantation scheme</w:t>
      </w:r>
      <w:r>
        <w:t xml:space="preserve"> in order to </w:t>
      </w:r>
      <w:r w:rsidRPr="00530B5C">
        <w:t>involve The Foundation Environmental Investments Centre as Implementing Agency.</w:t>
      </w:r>
      <w:r w:rsidR="003C20F4">
        <w:br w:type="page"/>
      </w:r>
    </w:p>
    <w:p w14:paraId="050FF0D5" w14:textId="77777777" w:rsidR="0027169A" w:rsidRPr="0027169A" w:rsidRDefault="003C20F4" w:rsidP="00FF1E48">
      <w:pPr>
        <w:pStyle w:val="Heading1"/>
        <w:numPr>
          <w:ilvl w:val="0"/>
          <w:numId w:val="1"/>
        </w:numPr>
        <w:rPr>
          <w:rFonts w:cstheme="majorHAnsi"/>
          <w:sz w:val="22"/>
          <w:szCs w:val="22"/>
        </w:rPr>
      </w:pPr>
      <w:r w:rsidRPr="0027169A">
        <w:rPr>
          <w:rFonts w:cstheme="majorHAnsi"/>
          <w:sz w:val="22"/>
          <w:szCs w:val="22"/>
        </w:rPr>
        <w:lastRenderedPageBreak/>
        <w:t>Status of</w:t>
      </w:r>
      <w:r w:rsidR="00B76096" w:rsidRPr="0027169A">
        <w:rPr>
          <w:rFonts w:cstheme="majorHAnsi"/>
          <w:sz w:val="22"/>
          <w:szCs w:val="22"/>
        </w:rPr>
        <w:t xml:space="preserve"> </w:t>
      </w:r>
      <w:r w:rsidRPr="0027169A">
        <w:rPr>
          <w:rFonts w:cstheme="majorHAnsi"/>
          <w:sz w:val="22"/>
          <w:szCs w:val="22"/>
        </w:rPr>
        <w:t>b</w:t>
      </w:r>
      <w:r w:rsidR="00B76096" w:rsidRPr="0027169A">
        <w:rPr>
          <w:rFonts w:cstheme="majorHAnsi"/>
          <w:sz w:val="22"/>
          <w:szCs w:val="22"/>
        </w:rPr>
        <w:t xml:space="preserve">ilateral </w:t>
      </w:r>
      <w:r w:rsidRPr="0027169A">
        <w:rPr>
          <w:rFonts w:cstheme="majorHAnsi"/>
          <w:sz w:val="22"/>
          <w:szCs w:val="22"/>
        </w:rPr>
        <w:t>f</w:t>
      </w:r>
      <w:r w:rsidR="00B76096" w:rsidRPr="0027169A">
        <w:rPr>
          <w:rFonts w:cstheme="majorHAnsi"/>
          <w:sz w:val="22"/>
          <w:szCs w:val="22"/>
        </w:rPr>
        <w:t>unds</w:t>
      </w:r>
    </w:p>
    <w:p w14:paraId="050FF0D6" w14:textId="77777777" w:rsidR="0027169A" w:rsidRPr="0027169A" w:rsidRDefault="003C20F4" w:rsidP="001602F6">
      <w:pPr>
        <w:pStyle w:val="Heading1"/>
        <w:numPr>
          <w:ilvl w:val="1"/>
          <w:numId w:val="1"/>
        </w:numPr>
        <w:ind w:left="425" w:hanging="431"/>
        <w:rPr>
          <w:rFonts w:cstheme="majorHAnsi"/>
          <w:sz w:val="22"/>
          <w:szCs w:val="22"/>
        </w:rPr>
      </w:pPr>
      <w:r w:rsidRPr="0027169A">
        <w:rPr>
          <w:rFonts w:cstheme="majorHAnsi"/>
          <w:sz w:val="22"/>
          <w:szCs w:val="22"/>
        </w:rPr>
        <w:t>Bilateral initiatives at the level of NFP</w:t>
      </w:r>
    </w:p>
    <w:p w14:paraId="050FF0D7" w14:textId="77777777" w:rsidR="0027169A" w:rsidRPr="0027169A" w:rsidRDefault="0027169A" w:rsidP="0027169A"/>
    <w:p w14:paraId="050FF0D8" w14:textId="77777777" w:rsidR="0027169A" w:rsidRDefault="003C20F4" w:rsidP="0027169A">
      <w:pPr>
        <w:spacing w:after="160"/>
      </w:pPr>
      <w:r>
        <w:t>In 2017 and 2018, the bilateral relations between Estonia and the donor states were strengthened mainly through the projects financed from the Fund for Bilateral Relations at National Level but some events were also organized by the programme operators at programme level.</w:t>
      </w:r>
    </w:p>
    <w:p w14:paraId="050FF0D9" w14:textId="77777777" w:rsidR="0027169A" w:rsidRDefault="003C20F4" w:rsidP="0027169A">
      <w:pPr>
        <w:spacing w:after="160"/>
      </w:pPr>
      <w:r>
        <w:t>The first and exceptional Work Plan (covering the partial elements of the Work Plan) of the JCBF was developed to cover the bilateral projects during the Estonian EU Presidency (autumn 2017):</w:t>
      </w:r>
    </w:p>
    <w:p w14:paraId="050FF0DA" w14:textId="77777777" w:rsidR="0027169A" w:rsidRPr="0027169A" w:rsidRDefault="003C20F4" w:rsidP="00FF1E48">
      <w:pPr>
        <w:pStyle w:val="ListParagraph"/>
        <w:numPr>
          <w:ilvl w:val="0"/>
          <w:numId w:val="7"/>
        </w:numPr>
        <w:spacing w:after="160"/>
        <w:rPr>
          <w:rFonts w:asciiTheme="majorHAnsi" w:eastAsia="Calibri" w:hAnsiTheme="majorHAnsi"/>
          <w:color w:val="auto"/>
          <w:sz w:val="22"/>
          <w:szCs w:val="22"/>
          <w:lang w:eastAsia="en-US"/>
        </w:rPr>
      </w:pPr>
      <w:r w:rsidRPr="0027169A">
        <w:rPr>
          <w:rFonts w:asciiTheme="majorHAnsi" w:eastAsia="Calibri" w:hAnsiTheme="majorHAnsi"/>
          <w:color w:val="auto"/>
          <w:sz w:val="22"/>
          <w:szCs w:val="22"/>
          <w:lang w:eastAsia="en-US"/>
        </w:rPr>
        <w:t xml:space="preserve">“4th Eastern Partnership Business Forum” – Conference on the “Role of Media in shaping public opinions in Eastern Partnership countries. Case of Ukraine: Challenges and Benefits of European Integration”; </w:t>
      </w:r>
    </w:p>
    <w:p w14:paraId="050FF0DB" w14:textId="77777777" w:rsidR="0027169A" w:rsidRPr="0027169A" w:rsidRDefault="003C20F4" w:rsidP="00FF1E48">
      <w:pPr>
        <w:pStyle w:val="ListParagraph"/>
        <w:numPr>
          <w:ilvl w:val="0"/>
          <w:numId w:val="7"/>
        </w:numPr>
        <w:spacing w:after="160"/>
        <w:rPr>
          <w:rFonts w:asciiTheme="majorHAnsi" w:eastAsia="Calibri" w:hAnsiTheme="majorHAnsi"/>
          <w:color w:val="auto"/>
          <w:sz w:val="22"/>
          <w:szCs w:val="22"/>
          <w:lang w:eastAsia="en-US"/>
        </w:rPr>
      </w:pPr>
      <w:r w:rsidRPr="0027169A">
        <w:rPr>
          <w:rFonts w:asciiTheme="majorHAnsi" w:eastAsia="Calibri" w:hAnsiTheme="majorHAnsi"/>
          <w:color w:val="auto"/>
          <w:sz w:val="22"/>
          <w:szCs w:val="22"/>
          <w:lang w:eastAsia="en-US"/>
        </w:rPr>
        <w:t xml:space="preserve">“The Kingdom of Norway and the Republic of Estonia – strengthening the digital cooperation”. </w:t>
      </w:r>
    </w:p>
    <w:p w14:paraId="050FF0DC" w14:textId="77777777" w:rsidR="0027169A" w:rsidRDefault="003C20F4" w:rsidP="0027169A">
      <w:pPr>
        <w:spacing w:after="160"/>
      </w:pPr>
      <w:r>
        <w:t>The fully covered Work Plan for the next 2 years was adopted by the JCBF in June 2018. It also included the third initiative:</w:t>
      </w:r>
    </w:p>
    <w:p w14:paraId="050FF0DD" w14:textId="77777777" w:rsidR="0027169A" w:rsidRPr="0027169A" w:rsidRDefault="003C20F4" w:rsidP="00FF1E48">
      <w:pPr>
        <w:pStyle w:val="ListParagraph"/>
        <w:numPr>
          <w:ilvl w:val="0"/>
          <w:numId w:val="7"/>
        </w:numPr>
        <w:spacing w:after="160"/>
        <w:rPr>
          <w:rFonts w:asciiTheme="majorHAnsi" w:eastAsia="Calibri" w:hAnsiTheme="majorHAnsi"/>
          <w:color w:val="auto"/>
          <w:sz w:val="22"/>
          <w:szCs w:val="22"/>
          <w:lang w:eastAsia="en-US"/>
        </w:rPr>
      </w:pPr>
      <w:r w:rsidRPr="0027169A">
        <w:rPr>
          <w:rFonts w:asciiTheme="majorHAnsi" w:eastAsia="Calibri" w:hAnsiTheme="majorHAnsi"/>
          <w:color w:val="auto"/>
          <w:sz w:val="22"/>
          <w:szCs w:val="22"/>
          <w:lang w:eastAsia="en-US"/>
        </w:rPr>
        <w:t xml:space="preserve"> “Co-operation and mutual exchange of information between the Labour Inspectorate of Estonia and the Labour Inspection Authority of the Kingdom of Norway concerning effective protection of working conditions for posted workers and eliminating hazards causing accidents at work and occupational diseases” (this initiative will be carried out within 3 years) </w:t>
      </w:r>
    </w:p>
    <w:p w14:paraId="050FF0DE" w14:textId="77777777" w:rsidR="0027169A" w:rsidRDefault="003C20F4" w:rsidP="001602F6">
      <w:pPr>
        <w:spacing w:after="240"/>
      </w:pPr>
      <w:r>
        <w:t>The new Work Plan of the JCBF and new potential bilateral initiatives will be discussed at the JCBF meeting in the second half of 2019.</w:t>
      </w:r>
    </w:p>
    <w:p w14:paraId="2CC088BD" w14:textId="77777777" w:rsidR="00C52BE8" w:rsidRDefault="00C52BE8" w:rsidP="00C52BE8"/>
    <w:p w14:paraId="050FF0DF" w14:textId="77777777" w:rsidR="0027169A" w:rsidRDefault="00E360CE" w:rsidP="00C52BE8">
      <w:pPr>
        <w:pStyle w:val="Heading1"/>
        <w:numPr>
          <w:ilvl w:val="1"/>
          <w:numId w:val="1"/>
        </w:numPr>
        <w:spacing w:before="0"/>
        <w:ind w:left="425" w:hanging="431"/>
        <w:rPr>
          <w:rFonts w:cstheme="majorHAnsi"/>
          <w:sz w:val="22"/>
          <w:szCs w:val="22"/>
        </w:rPr>
      </w:pPr>
      <w:r w:rsidRPr="00E360CE">
        <w:rPr>
          <w:rFonts w:cstheme="majorHAnsi"/>
          <w:sz w:val="22"/>
          <w:szCs w:val="22"/>
        </w:rPr>
        <w:t xml:space="preserve"> </w:t>
      </w:r>
      <w:r w:rsidR="003C20F4" w:rsidRPr="00E360CE">
        <w:rPr>
          <w:rFonts w:cstheme="majorHAnsi"/>
          <w:sz w:val="22"/>
          <w:szCs w:val="22"/>
        </w:rPr>
        <w:t>Bilateral activities at the level of programmes</w:t>
      </w:r>
    </w:p>
    <w:p w14:paraId="050FF0E0" w14:textId="77777777" w:rsidR="00E360CE" w:rsidRPr="00E360CE" w:rsidRDefault="00E360CE" w:rsidP="00E360CE"/>
    <w:p w14:paraId="050FF0E1" w14:textId="77777777" w:rsidR="0027169A" w:rsidRDefault="003C20F4" w:rsidP="00C52BE8">
      <w:pPr>
        <w:rPr>
          <w:rFonts w:eastAsiaTheme="majorEastAsia"/>
          <w:b/>
          <w:color w:val="2E74B5" w:themeColor="accent1" w:themeShade="BF"/>
        </w:rPr>
      </w:pPr>
      <w:r w:rsidRPr="00E5661A">
        <w:rPr>
          <w:rFonts w:eastAsiaTheme="majorEastAsia"/>
          <w:b/>
          <w:color w:val="2E74B5" w:themeColor="accent1" w:themeShade="BF"/>
        </w:rPr>
        <w:t>B</w:t>
      </w:r>
      <w:r w:rsidR="00547D07">
        <w:rPr>
          <w:rFonts w:eastAsiaTheme="majorEastAsia"/>
          <w:b/>
          <w:color w:val="2E74B5" w:themeColor="accent1" w:themeShade="BF"/>
        </w:rPr>
        <w:t>ilateral Funds for p</w:t>
      </w:r>
      <w:r w:rsidRPr="00E5661A">
        <w:rPr>
          <w:rFonts w:eastAsiaTheme="majorEastAsia"/>
          <w:b/>
          <w:color w:val="2E74B5" w:themeColor="accent1" w:themeShade="BF"/>
        </w:rPr>
        <w:t>rogramme EE-RESEARCH</w:t>
      </w:r>
    </w:p>
    <w:p w14:paraId="1C554870" w14:textId="77777777" w:rsidR="00C52BE8" w:rsidRPr="00E5661A" w:rsidRDefault="00C52BE8" w:rsidP="00C52BE8">
      <w:pPr>
        <w:rPr>
          <w:rFonts w:eastAsiaTheme="majorEastAsia"/>
          <w:b/>
          <w:color w:val="2E74B5" w:themeColor="accent1" w:themeShade="BF"/>
        </w:rPr>
      </w:pPr>
    </w:p>
    <w:p w14:paraId="050FF0E2" w14:textId="77777777" w:rsidR="007C38EE" w:rsidRDefault="007C38EE" w:rsidP="0027169A">
      <w:pPr>
        <w:spacing w:after="160"/>
      </w:pPr>
      <w:r>
        <w:t xml:space="preserve">In October 2018 </w:t>
      </w:r>
      <w:r w:rsidRPr="007C38EE">
        <w:t>the matchmaking</w:t>
      </w:r>
      <w:r>
        <w:t xml:space="preserve"> event for the call of research collaboration was organized in </w:t>
      </w:r>
      <w:r w:rsidR="005D4457">
        <w:t xml:space="preserve">Tallinn </w:t>
      </w:r>
      <w:r w:rsidR="005D4457" w:rsidRPr="007C38EE">
        <w:t>to</w:t>
      </w:r>
      <w:r w:rsidRPr="007C38EE">
        <w:t xml:space="preserve"> enable the researchers from Estonia, Latvia, Lithuania and Norway have some networking. Interest towards this event was big and the </w:t>
      </w:r>
      <w:r w:rsidRPr="007C38EE">
        <w:lastRenderedPageBreak/>
        <w:t xml:space="preserve">available seats were filled before deadline. Total number </w:t>
      </w:r>
      <w:r>
        <w:t xml:space="preserve">of participants was around 250 - </w:t>
      </w:r>
      <w:r w:rsidRPr="007C38EE">
        <w:t>approx</w:t>
      </w:r>
      <w:r>
        <w:t>imately</w:t>
      </w:r>
      <w:r w:rsidRPr="007C38EE">
        <w:t xml:space="preserve"> 130 from Estonia, 70 from Latvia, 30</w:t>
      </w:r>
      <w:r>
        <w:t xml:space="preserve"> from Lithuania, 20 form Norway</w:t>
      </w:r>
      <w:r w:rsidRPr="007C38EE">
        <w:t>.</w:t>
      </w:r>
    </w:p>
    <w:p w14:paraId="050FF0E3" w14:textId="77777777" w:rsidR="00547D07" w:rsidRDefault="00547D07" w:rsidP="00505779">
      <w:r>
        <w:t>The opening c</w:t>
      </w:r>
      <w:r w:rsidRPr="00547D07">
        <w:t>onference for educational programmes t</w:t>
      </w:r>
      <w:r w:rsidR="00E33011">
        <w:t>ook place in March 2019 in Oslo and three</w:t>
      </w:r>
      <w:r w:rsidRPr="00547D07">
        <w:t xml:space="preserve"> representatives from </w:t>
      </w:r>
      <w:r w:rsidR="00E33011" w:rsidRPr="00E33011">
        <w:t xml:space="preserve">the Archimedes Foundation </w:t>
      </w:r>
      <w:r w:rsidRPr="00547D07">
        <w:t>took part in this</w:t>
      </w:r>
      <w:r>
        <w:t>.</w:t>
      </w:r>
      <w:r w:rsidR="00C44876">
        <w:t xml:space="preserve"> </w:t>
      </w:r>
      <w:r w:rsidR="00C44876" w:rsidRPr="00C44876">
        <w:t xml:space="preserve">Fund for bilateral activities </w:t>
      </w:r>
      <w:r w:rsidR="00C44876">
        <w:t xml:space="preserve">have </w:t>
      </w:r>
      <w:r w:rsidR="00C44876" w:rsidRPr="00C44876">
        <w:t xml:space="preserve">used also to take part </w:t>
      </w:r>
      <w:r w:rsidR="00C44876">
        <w:t>in programme operators´ meetings</w:t>
      </w:r>
      <w:r w:rsidR="00C44876" w:rsidRPr="00C44876">
        <w:t xml:space="preserve"> in donor states</w:t>
      </w:r>
      <w:r w:rsidR="00C44876">
        <w:t xml:space="preserve">. </w:t>
      </w:r>
    </w:p>
    <w:p w14:paraId="2F5CEA64" w14:textId="77777777" w:rsidR="00C52BE8" w:rsidRDefault="00C52BE8" w:rsidP="00505779"/>
    <w:p w14:paraId="1F12C167" w14:textId="77777777" w:rsidR="00C52BE8" w:rsidRDefault="00C52BE8" w:rsidP="007F6AC7">
      <w:pPr>
        <w:rPr>
          <w:rFonts w:eastAsiaTheme="majorEastAsia"/>
          <w:b/>
          <w:color w:val="2E74B5" w:themeColor="accent1" w:themeShade="BF"/>
        </w:rPr>
      </w:pPr>
      <w:r w:rsidRPr="000A6118">
        <w:rPr>
          <w:rFonts w:eastAsiaTheme="majorEastAsia"/>
          <w:b/>
          <w:color w:val="2E74B5" w:themeColor="accent1" w:themeShade="BF"/>
        </w:rPr>
        <w:t>Bilateral Funds for programme EE-</w:t>
      </w:r>
      <w:r>
        <w:rPr>
          <w:rFonts w:eastAsiaTheme="majorEastAsia"/>
          <w:b/>
          <w:color w:val="2E74B5" w:themeColor="accent1" w:themeShade="BF"/>
        </w:rPr>
        <w:t>Innovation</w:t>
      </w:r>
    </w:p>
    <w:p w14:paraId="2C99B2CD" w14:textId="77777777" w:rsidR="007F6AC7" w:rsidRPr="000A6118" w:rsidRDefault="007F6AC7" w:rsidP="007F6AC7">
      <w:pPr>
        <w:rPr>
          <w:rFonts w:eastAsiaTheme="majorEastAsia"/>
          <w:b/>
          <w:color w:val="2E74B5" w:themeColor="accent1" w:themeShade="BF"/>
        </w:rPr>
      </w:pPr>
    </w:p>
    <w:p w14:paraId="2D925387" w14:textId="77777777" w:rsidR="00C52BE8" w:rsidRDefault="00C52BE8" w:rsidP="00C52BE8">
      <w:pPr>
        <w:spacing w:after="160"/>
      </w:pPr>
      <w:r>
        <w:t>During the reporting period, s</w:t>
      </w:r>
      <w:r w:rsidRPr="005820EA">
        <w:t xml:space="preserve">everal bilateral events and activities took place at </w:t>
      </w:r>
      <w:r>
        <w:t xml:space="preserve">EE-Innovation </w:t>
      </w:r>
      <w:r w:rsidRPr="005820EA">
        <w:t>programme level</w:t>
      </w:r>
      <w:r>
        <w:t>. The aim of the events was to</w:t>
      </w:r>
      <w:r w:rsidRPr="005820EA">
        <w:t xml:space="preserve"> attract companies to take part in programme activities prior the opening of the small grant scheme and main call. These activities also contribute to the outcomes as are focused to the strengthening bilateral relations between Norway and Estonia</w:t>
      </w:r>
      <w:r>
        <w:t>.</w:t>
      </w:r>
    </w:p>
    <w:p w14:paraId="619B23FA" w14:textId="77777777" w:rsidR="00C52BE8" w:rsidRDefault="00C52BE8" w:rsidP="00C52BE8">
      <w:pPr>
        <w:spacing w:after="160"/>
      </w:pPr>
      <w:r w:rsidRPr="00222F94">
        <w:t>Programme Operator, Implementing Agency and Donor Programme Partner have facilitated participation in the Oslo Innovation Week in 2 consecutive years, 2017 and 2018. The main aim is to benefit from the existing network present in such a big annual event, but also to facilitate Estonian companies’ effort to find new partners for their projects within the programme. In addition to participating in the Oslo Innovation Week, programme team initiated separate side event in 2017. E-Estonia seminar was organised in cooperation with Innovation Norway, Estonian Investment Agency, Norwegian Estonian Chamber of Commerce and Estonian Association of Information Technology and Telecommunications. The event presented a high-level participation and vast interest from the Estonian as well as Norwegian companies. Seminar hosted 200 participants altogether and provided a platform for networking and matchmaking.</w:t>
      </w:r>
    </w:p>
    <w:p w14:paraId="5C2C0655" w14:textId="768A5C7B" w:rsidR="00C52BE8" w:rsidRDefault="00C52BE8" w:rsidP="00C52BE8">
      <w:pPr>
        <w:spacing w:after="160"/>
      </w:pPr>
      <w:r>
        <w:t xml:space="preserve">In 2018, a group of Estonian companies visited Circular Economy conference and matchmaking in Oslo Innovation Week 2018. The focus of this bilateral event was on matchmaking and partner search activities, using the existing platform of diverse participants attending the international seminar. The matchmaking during the Oslo Innovation Week provided new contacts and opportunities to find partners for projects. </w:t>
      </w:r>
    </w:p>
    <w:p w14:paraId="1FFBC180" w14:textId="77777777" w:rsidR="00C52BE8" w:rsidRDefault="00C52BE8" w:rsidP="00C52BE8">
      <w:pPr>
        <w:spacing w:after="160"/>
      </w:pPr>
      <w:r>
        <w:lastRenderedPageBreak/>
        <w:t xml:space="preserve">The Public and Private Digital Leadership Summit and Norwegian-Estonian Business Forum in April in Tallinn was undoubtedly a top bilateral event in 2018. More than 200 participants from Estonia and Norway visited the two-day seminar that presented relevant topics to both Estonian and Norwegian companies: e-Estonia as an advanced builder of digital society, X-road solution connecting the digital infrastructure, block chain opportunities and Norway Grants 2014-2021 Green ICT programme. In addition to the presentations, the seminar provided plenty of mingling and matchmaking opportunities, also B2B meetings between industrial investors, technology businesses, etc. As the event was organised as part of the state visit of His Royal Highness the Crown Prince of Norway to Estonia, it showed the high-level participation and media attention. In addition to the vast bilateral impact, the seminar set a milestone to the Green ICT programme. On April 26th 2018, Norwegian State Secretary of Ministry of Trade, Industry, and Fisheries and the Minister of Estonian Ministry of Finance signed the programme agreement that constitutes the start of the Norway Grants 2014-2021 Green ICT programme in Estonia. </w:t>
      </w:r>
    </w:p>
    <w:p w14:paraId="183AFE14" w14:textId="77777777" w:rsidR="00C52BE8" w:rsidRDefault="00C52BE8" w:rsidP="00C52BE8">
      <w:r>
        <w:t>As a follow-up event, the programme-opening seminar was organised on October 15th, 2018, to provide detailed information about the Green ICT programme. Programme Operator and Implementing Agency in cooperation with Donor Programme Partner hosted 120 participants, of which 20 originated from Norway. The seminar focused on Green ICT programme: the aim, focuses, activities, eligibility and application. Many participants used the opportunity to present their project ideas and exchange the expectations towards bilateral partnership with potential partners.</w:t>
      </w:r>
    </w:p>
    <w:p w14:paraId="025A7794" w14:textId="77777777" w:rsidR="00C52BE8" w:rsidRPr="000A6118" w:rsidRDefault="00C52BE8" w:rsidP="00C52BE8"/>
    <w:p w14:paraId="050FF0E5" w14:textId="77777777" w:rsidR="00547D07" w:rsidRDefault="00547D07" w:rsidP="007F6AC7">
      <w:pPr>
        <w:rPr>
          <w:b/>
          <w:color w:val="0070C0"/>
        </w:rPr>
      </w:pPr>
      <w:r w:rsidRPr="00547D07">
        <w:rPr>
          <w:b/>
          <w:color w:val="0070C0"/>
        </w:rPr>
        <w:t xml:space="preserve">Bilateral Funds for programme EE-LOCALDEV </w:t>
      </w:r>
    </w:p>
    <w:p w14:paraId="6515E0CD" w14:textId="77777777" w:rsidR="007F6AC7" w:rsidRDefault="007F6AC7" w:rsidP="007F6AC7">
      <w:pPr>
        <w:rPr>
          <w:b/>
          <w:color w:val="0070C0"/>
        </w:rPr>
      </w:pPr>
    </w:p>
    <w:p w14:paraId="050FF0E6" w14:textId="77777777" w:rsidR="00547D07" w:rsidRDefault="00547D07" w:rsidP="00505779">
      <w:r w:rsidRPr="00547D07">
        <w:t xml:space="preserve">Due to development </w:t>
      </w:r>
      <w:r>
        <w:t>p</w:t>
      </w:r>
      <w:r>
        <w:pgNum/>
      </w:r>
      <w:r>
        <w:t>haze</w:t>
      </w:r>
      <w:r w:rsidRPr="00547D07">
        <w:t xml:space="preserve"> of </w:t>
      </w:r>
      <w:r>
        <w:t xml:space="preserve">the </w:t>
      </w:r>
      <w:r w:rsidRPr="00547D07">
        <w:t>programme</w:t>
      </w:r>
      <w:r>
        <w:t>,</w:t>
      </w:r>
      <w:r w:rsidRPr="00547D07">
        <w:t xml:space="preserve"> </w:t>
      </w:r>
      <w:r>
        <w:t>no bilateral activities have been implemented during this reporting period.</w:t>
      </w:r>
    </w:p>
    <w:p w14:paraId="050FF0E7" w14:textId="77777777" w:rsidR="00547D07" w:rsidRDefault="00547D07" w:rsidP="00C52BE8"/>
    <w:p w14:paraId="050FF0E8" w14:textId="77777777" w:rsidR="00547D07" w:rsidRDefault="00547D07" w:rsidP="007F6AC7">
      <w:pPr>
        <w:rPr>
          <w:b/>
          <w:color w:val="0070C0"/>
        </w:rPr>
      </w:pPr>
      <w:r w:rsidRPr="00547D07">
        <w:rPr>
          <w:b/>
          <w:color w:val="0070C0"/>
        </w:rPr>
        <w:t>Bilateral</w:t>
      </w:r>
      <w:r>
        <w:rPr>
          <w:b/>
          <w:color w:val="0070C0"/>
        </w:rPr>
        <w:t xml:space="preserve"> Funds for programme EE-CLIMATE</w:t>
      </w:r>
    </w:p>
    <w:p w14:paraId="2296057B" w14:textId="77777777" w:rsidR="007F6AC7" w:rsidRDefault="007F6AC7" w:rsidP="007F6AC7">
      <w:pPr>
        <w:rPr>
          <w:b/>
          <w:color w:val="0070C0"/>
        </w:rPr>
      </w:pPr>
    </w:p>
    <w:p w14:paraId="050FF0E9" w14:textId="77777777" w:rsidR="00547D07" w:rsidRPr="00547D07" w:rsidRDefault="00547D07" w:rsidP="0027169A">
      <w:pPr>
        <w:spacing w:after="160"/>
      </w:pPr>
      <w:r w:rsidRPr="00547D07">
        <w:t>Due to development p haze of the programme, no bilateral activities have been implemented during this reporting period.</w:t>
      </w:r>
    </w:p>
    <w:p w14:paraId="1FE6401E" w14:textId="350AC469" w:rsidR="00ED2796" w:rsidRPr="00C52BE8" w:rsidRDefault="003C20F4" w:rsidP="00C52BE8">
      <w:pPr>
        <w:spacing w:after="160"/>
        <w:rPr>
          <w:rFonts w:eastAsiaTheme="majorEastAsia"/>
          <w:color w:val="2E74B5" w:themeColor="accent1" w:themeShade="BF"/>
        </w:rPr>
      </w:pPr>
      <w:r w:rsidRPr="00547D07">
        <w:br w:type="page"/>
      </w:r>
    </w:p>
    <w:p w14:paraId="050FF0EB" w14:textId="77777777" w:rsidR="009C22DE" w:rsidRPr="00B71D5A" w:rsidRDefault="003C20F4" w:rsidP="00FF1E48">
      <w:pPr>
        <w:pStyle w:val="Heading1"/>
        <w:numPr>
          <w:ilvl w:val="0"/>
          <w:numId w:val="1"/>
        </w:numPr>
        <w:rPr>
          <w:rFonts w:cstheme="majorHAnsi"/>
          <w:sz w:val="22"/>
          <w:szCs w:val="22"/>
        </w:rPr>
      </w:pPr>
      <w:r w:rsidRPr="009576D1">
        <w:rPr>
          <w:rFonts w:cstheme="majorHAnsi"/>
          <w:sz w:val="22"/>
          <w:szCs w:val="22"/>
        </w:rPr>
        <w:lastRenderedPageBreak/>
        <w:t>Management and implementation</w:t>
      </w:r>
      <w:r w:rsidR="009576D1" w:rsidRPr="00250744">
        <w:rPr>
          <w:rFonts w:cstheme="majorHAnsi"/>
          <w:sz w:val="22"/>
          <w:szCs w:val="22"/>
        </w:rPr>
        <w:br/>
      </w:r>
    </w:p>
    <w:p w14:paraId="050FF0EC" w14:textId="77777777" w:rsidR="00E5661A" w:rsidRPr="00B71D5A" w:rsidRDefault="00B71D5A" w:rsidP="00FF1E48">
      <w:pPr>
        <w:pStyle w:val="ListParagraph"/>
        <w:numPr>
          <w:ilvl w:val="1"/>
          <w:numId w:val="8"/>
        </w:numPr>
        <w:rPr>
          <w:rFonts w:asciiTheme="majorHAnsi" w:hAnsiTheme="majorHAnsi"/>
          <w:b/>
          <w:color w:val="0070C0"/>
          <w:sz w:val="22"/>
          <w:szCs w:val="22"/>
        </w:rPr>
      </w:pPr>
      <w:r w:rsidRPr="00B71D5A">
        <w:rPr>
          <w:rFonts w:asciiTheme="majorHAnsi" w:hAnsiTheme="majorHAnsi"/>
          <w:b/>
          <w:color w:val="0070C0"/>
          <w:sz w:val="22"/>
          <w:szCs w:val="22"/>
        </w:rPr>
        <w:t xml:space="preserve"> </w:t>
      </w:r>
      <w:r w:rsidR="003C20F4" w:rsidRPr="00B71D5A">
        <w:rPr>
          <w:rFonts w:asciiTheme="majorHAnsi" w:hAnsiTheme="majorHAnsi"/>
          <w:b/>
          <w:color w:val="0070C0"/>
          <w:sz w:val="22"/>
          <w:szCs w:val="22"/>
        </w:rPr>
        <w:t>Management and control systems (MCS)</w:t>
      </w:r>
      <w:r w:rsidR="00E360CE" w:rsidRPr="00B71D5A">
        <w:rPr>
          <w:rFonts w:asciiTheme="majorHAnsi" w:hAnsiTheme="majorHAnsi"/>
          <w:b/>
          <w:color w:val="0070C0"/>
          <w:sz w:val="22"/>
          <w:szCs w:val="22"/>
        </w:rPr>
        <w:t xml:space="preserve"> o</w:t>
      </w:r>
      <w:r w:rsidR="003C20F4" w:rsidRPr="00B71D5A">
        <w:rPr>
          <w:rFonts w:asciiTheme="majorHAnsi" w:hAnsiTheme="majorHAnsi"/>
          <w:b/>
          <w:color w:val="0070C0"/>
          <w:sz w:val="22"/>
          <w:szCs w:val="22"/>
        </w:rPr>
        <w:t>n the level of National Focal Point</w:t>
      </w:r>
    </w:p>
    <w:p w14:paraId="050FF0ED" w14:textId="77777777" w:rsidR="00E5661A" w:rsidRPr="00E5661A" w:rsidRDefault="00E5661A" w:rsidP="00E5661A">
      <w:pPr>
        <w:ind w:left="360"/>
        <w:rPr>
          <w:rFonts w:eastAsia="MS Mincho"/>
          <w:color w:val="000000"/>
          <w:lang w:eastAsia="fr-FR"/>
        </w:rPr>
      </w:pPr>
    </w:p>
    <w:p w14:paraId="050FF0EE" w14:textId="77777777" w:rsidR="00E5661A" w:rsidRPr="00E5661A" w:rsidRDefault="003C20F4" w:rsidP="00E360CE">
      <w:pPr>
        <w:rPr>
          <w:rFonts w:eastAsia="MS Mincho"/>
          <w:color w:val="000000"/>
          <w:lang w:eastAsia="fr-FR"/>
        </w:rPr>
      </w:pPr>
      <w:r w:rsidRPr="00E5661A">
        <w:rPr>
          <w:rFonts w:eastAsia="MS Mincho"/>
          <w:color w:val="000000"/>
          <w:lang w:eastAsia="fr-FR"/>
        </w:rPr>
        <w:t>The management and control systems of the National Focal Point, the Certifying Authority, the Audit Authority, and the Irregularities Authority were set up in 2017 and audited in the first half of 2018. As a result of the compliance assessment of the description of the management and control systems the Audit Authority was in the opinion that these are proportional, effective and in compliance with generally accepted accounting principles in relation with achieving the objectives of the programmes and that the managerial set up is in line with the requirements of the Regulations of the EEA and Norway Grants.</w:t>
      </w:r>
    </w:p>
    <w:p w14:paraId="050FF0EF" w14:textId="77777777" w:rsidR="00E5661A" w:rsidRPr="00E5661A" w:rsidRDefault="00E5661A" w:rsidP="00E5661A">
      <w:pPr>
        <w:ind w:left="360"/>
        <w:rPr>
          <w:rFonts w:eastAsia="MS Mincho"/>
          <w:color w:val="000000"/>
          <w:lang w:eastAsia="fr-FR"/>
        </w:rPr>
      </w:pPr>
    </w:p>
    <w:p w14:paraId="050FF0F0" w14:textId="77777777" w:rsidR="00E5661A" w:rsidRPr="00E5661A" w:rsidRDefault="003C20F4" w:rsidP="00E360CE">
      <w:pPr>
        <w:rPr>
          <w:rFonts w:eastAsia="MS Mincho"/>
          <w:color w:val="000000"/>
          <w:lang w:eastAsia="fr-FR"/>
        </w:rPr>
      </w:pPr>
      <w:r w:rsidRPr="00E5661A">
        <w:rPr>
          <w:rFonts w:eastAsia="MS Mincho"/>
          <w:color w:val="000000"/>
          <w:lang w:eastAsia="fr-FR"/>
        </w:rPr>
        <w:t>In March 2018, as a result of public administrative reform initiated by the Estonian Government, it was decided to consolidate and authorize the functions of the Managing Authority, Certifying Authority and Implementing Body from Ministry of Finance to SSSC, starting from 01.09.2018. As the management of different funds (ESIF, ESF, FI, NO/EEA Grants, etc.) on the level of MA/CA/CA has long been consolidated in the Ministry of Finance, the initiated public reform also affected the functions NFP/CA/IB of NO/EEA Financial Mechanisms for 2014-2021 in Estonia. As a result, amendment of Memorandum of Understanding was initiated and amendments were signed on the 5th of November 2018.</w:t>
      </w:r>
    </w:p>
    <w:p w14:paraId="050FF0F1" w14:textId="77777777" w:rsidR="00E5661A" w:rsidRPr="00E5661A" w:rsidRDefault="00E5661A" w:rsidP="00E5661A">
      <w:pPr>
        <w:ind w:left="360"/>
        <w:rPr>
          <w:rFonts w:eastAsia="MS Mincho"/>
          <w:color w:val="000000"/>
          <w:lang w:eastAsia="fr-FR"/>
        </w:rPr>
      </w:pPr>
    </w:p>
    <w:p w14:paraId="050FF0F2" w14:textId="77777777" w:rsidR="00E5661A" w:rsidRPr="00E5661A" w:rsidRDefault="003C20F4" w:rsidP="001602F6">
      <w:pPr>
        <w:spacing w:after="240"/>
        <w:rPr>
          <w:rFonts w:eastAsia="MS Mincho"/>
          <w:color w:val="000000"/>
          <w:lang w:eastAsia="fr-FR"/>
        </w:rPr>
      </w:pPr>
      <w:r w:rsidRPr="00E5661A">
        <w:rPr>
          <w:rFonts w:eastAsia="MS Mincho"/>
          <w:color w:val="000000"/>
          <w:lang w:eastAsia="fr-FR"/>
        </w:rPr>
        <w:t>In 2019, as Estonian Government authorized SSSC to centrally manage, certify and implement foreign funds in the SSSC, the Ministry of Social Affairs (acting as Programme Operator for the programme LOCALDEV) decided to delegate the implementation of the programme to the SSSC. In order to ensure the required separation of the functions of the CA and implementing functions inside the SSSC, the FMO and the SSSC agreed on the new setup (separation of CA tasks from NFP). As a result, the third amendment of the Memorandum of Understandings was signed on the 21st of June 2019.</w:t>
      </w:r>
    </w:p>
    <w:p w14:paraId="050FF0F3" w14:textId="77777777" w:rsidR="00E5661A" w:rsidRPr="00B71D5A" w:rsidRDefault="00E5661A" w:rsidP="00E5661A">
      <w:pPr>
        <w:ind w:left="360"/>
        <w:rPr>
          <w:rFonts w:eastAsia="MS Mincho"/>
          <w:b/>
          <w:color w:val="0070C0"/>
          <w:lang w:eastAsia="fr-FR"/>
        </w:rPr>
      </w:pPr>
    </w:p>
    <w:p w14:paraId="050FF0F4" w14:textId="77777777" w:rsidR="00E5661A" w:rsidRPr="00B71D5A" w:rsidRDefault="00B71D5A" w:rsidP="00FF1E48">
      <w:pPr>
        <w:pStyle w:val="ListParagraph"/>
        <w:numPr>
          <w:ilvl w:val="1"/>
          <w:numId w:val="8"/>
        </w:numPr>
        <w:rPr>
          <w:rFonts w:asciiTheme="majorHAnsi" w:hAnsiTheme="majorHAnsi"/>
          <w:b/>
          <w:color w:val="0070C0"/>
          <w:sz w:val="22"/>
          <w:szCs w:val="22"/>
        </w:rPr>
      </w:pPr>
      <w:r w:rsidRPr="00B71D5A">
        <w:rPr>
          <w:rFonts w:asciiTheme="majorHAnsi" w:hAnsiTheme="majorHAnsi"/>
          <w:b/>
          <w:color w:val="0070C0"/>
          <w:sz w:val="22"/>
          <w:szCs w:val="22"/>
        </w:rPr>
        <w:t>Management and control systems (MCS) o</w:t>
      </w:r>
      <w:r w:rsidR="003C20F4" w:rsidRPr="00B71D5A">
        <w:rPr>
          <w:rFonts w:asciiTheme="majorHAnsi" w:hAnsiTheme="majorHAnsi"/>
          <w:b/>
          <w:color w:val="0070C0"/>
          <w:sz w:val="22"/>
          <w:szCs w:val="22"/>
        </w:rPr>
        <w:t>n the level of programmes</w:t>
      </w:r>
    </w:p>
    <w:p w14:paraId="050FF0F5" w14:textId="77777777" w:rsidR="00E5661A" w:rsidRPr="00E5661A" w:rsidRDefault="00E5661A" w:rsidP="00E5661A">
      <w:pPr>
        <w:ind w:left="360"/>
        <w:rPr>
          <w:rFonts w:eastAsia="MS Mincho"/>
          <w:color w:val="000000"/>
          <w:lang w:eastAsia="fr-FR"/>
        </w:rPr>
      </w:pPr>
    </w:p>
    <w:p w14:paraId="050FF0F6" w14:textId="77777777" w:rsidR="00E5661A" w:rsidRPr="00E5661A" w:rsidRDefault="003C20F4" w:rsidP="00E360CE">
      <w:pPr>
        <w:rPr>
          <w:rFonts w:eastAsia="MS Mincho"/>
          <w:color w:val="000000"/>
          <w:lang w:eastAsia="fr-FR"/>
        </w:rPr>
      </w:pPr>
      <w:r w:rsidRPr="00E5661A">
        <w:rPr>
          <w:rFonts w:eastAsia="MS Mincho"/>
          <w:color w:val="000000"/>
          <w:lang w:eastAsia="fr-FR"/>
        </w:rPr>
        <w:lastRenderedPageBreak/>
        <w:t>At the programme level, setup of management and control systems started for all programmes in 2018. Therefore, the Audit Authority was able to perform the compliance assessments of the descriptions of management and control systems for the following programmes: EE-Research (Baltic Research Programme) at the first quarter of 2019</w:t>
      </w:r>
      <w:r w:rsidR="00B71D5A">
        <w:rPr>
          <w:rFonts w:eastAsia="MS Mincho"/>
          <w:color w:val="000000"/>
          <w:lang w:eastAsia="fr-FR"/>
        </w:rPr>
        <w:t xml:space="preserve"> and EE-Localdev at the second quarter of 2019</w:t>
      </w:r>
      <w:r w:rsidRPr="00E5661A">
        <w:rPr>
          <w:rFonts w:eastAsia="MS Mincho"/>
          <w:color w:val="000000"/>
          <w:lang w:eastAsia="fr-FR"/>
        </w:rPr>
        <w:t>. The auditor’s opinions were submitted to the FMO on April 3rd, 2019</w:t>
      </w:r>
      <w:r w:rsidR="00B71D5A">
        <w:rPr>
          <w:rFonts w:eastAsia="MS Mincho"/>
          <w:color w:val="000000"/>
          <w:lang w:eastAsia="fr-FR"/>
        </w:rPr>
        <w:t xml:space="preserve"> and on </w:t>
      </w:r>
      <w:r w:rsidR="00B959E2">
        <w:rPr>
          <w:rFonts w:eastAsia="MS Mincho"/>
          <w:color w:val="000000"/>
          <w:lang w:eastAsia="fr-FR"/>
        </w:rPr>
        <w:t>July 25</w:t>
      </w:r>
      <w:r w:rsidR="00B959E2" w:rsidRPr="00B959E2">
        <w:rPr>
          <w:rFonts w:eastAsia="MS Mincho"/>
          <w:color w:val="000000"/>
          <w:vertAlign w:val="superscript"/>
          <w:lang w:eastAsia="fr-FR"/>
        </w:rPr>
        <w:t>th</w:t>
      </w:r>
      <w:r w:rsidR="00B959E2">
        <w:rPr>
          <w:rFonts w:eastAsia="MS Mincho"/>
          <w:color w:val="000000"/>
          <w:lang w:eastAsia="fr-FR"/>
        </w:rPr>
        <w:t>, 2019</w:t>
      </w:r>
      <w:r w:rsidRPr="00E5661A">
        <w:rPr>
          <w:rFonts w:eastAsia="MS Mincho"/>
          <w:color w:val="000000"/>
          <w:lang w:eastAsia="fr-FR"/>
        </w:rPr>
        <w:t xml:space="preserve">. As a result of the first two compliance assessments, the Audit Authority was in the opinion that the management and control systems of the previously mentioned programme operators for implementation of the EEA Grants in Estonia covers all required functions and are in all material aspects proportional, effective and in compliance with generally accepted accounting principles in relation with achieving the objectives of the programmes. </w:t>
      </w:r>
    </w:p>
    <w:p w14:paraId="050FF0F7" w14:textId="77777777" w:rsidR="005E7328" w:rsidRPr="009576D1" w:rsidRDefault="005E7328" w:rsidP="005E7328">
      <w:pPr>
        <w:ind w:left="360"/>
        <w:rPr>
          <w:b/>
          <w:color w:val="000000" w:themeColor="text1"/>
        </w:rPr>
      </w:pPr>
    </w:p>
    <w:p w14:paraId="050FF0F8" w14:textId="77777777" w:rsidR="005153C9" w:rsidRDefault="003C20F4" w:rsidP="00FF1E48">
      <w:pPr>
        <w:pStyle w:val="ListParagraph"/>
        <w:numPr>
          <w:ilvl w:val="0"/>
          <w:numId w:val="4"/>
        </w:numPr>
        <w:ind w:left="426"/>
        <w:rPr>
          <w:rFonts w:asciiTheme="majorHAnsi" w:hAnsiTheme="majorHAnsi"/>
          <w:b/>
          <w:color w:val="000000" w:themeColor="text1"/>
          <w:sz w:val="22"/>
          <w:szCs w:val="22"/>
        </w:rPr>
      </w:pPr>
      <w:r w:rsidRPr="009576D1">
        <w:rPr>
          <w:rFonts w:asciiTheme="majorHAnsi" w:hAnsiTheme="majorHAnsi"/>
          <w:b/>
          <w:color w:val="000000" w:themeColor="text1"/>
          <w:sz w:val="22"/>
          <w:szCs w:val="22"/>
        </w:rPr>
        <w:t>Complaints</w:t>
      </w:r>
    </w:p>
    <w:p w14:paraId="050FF0F9" w14:textId="77777777" w:rsidR="009C22DE" w:rsidRPr="008962EE" w:rsidRDefault="003C20F4" w:rsidP="00E360CE">
      <w:pPr>
        <w:pStyle w:val="ListParagraph"/>
        <w:ind w:left="426"/>
        <w:rPr>
          <w:rFonts w:asciiTheme="majorHAnsi" w:hAnsiTheme="majorHAnsi"/>
          <w:color w:val="000000" w:themeColor="text1"/>
          <w:sz w:val="22"/>
          <w:szCs w:val="22"/>
        </w:rPr>
      </w:pPr>
      <w:r w:rsidRPr="008962EE">
        <w:rPr>
          <w:rFonts w:asciiTheme="majorHAnsi" w:hAnsiTheme="majorHAnsi"/>
          <w:color w:val="000000" w:themeColor="text1"/>
          <w:sz w:val="22"/>
          <w:szCs w:val="22"/>
        </w:rPr>
        <w:t xml:space="preserve">No complaints have been received </w:t>
      </w:r>
    </w:p>
    <w:p w14:paraId="050FF0FA" w14:textId="77777777" w:rsidR="005153C9" w:rsidRPr="005153C9" w:rsidRDefault="005153C9" w:rsidP="005153C9">
      <w:pPr>
        <w:pStyle w:val="ListParagraph"/>
        <w:rPr>
          <w:rFonts w:asciiTheme="majorHAnsi" w:hAnsiTheme="majorHAnsi"/>
          <w:color w:val="000000" w:themeColor="text1"/>
          <w:sz w:val="22"/>
          <w:szCs w:val="22"/>
        </w:rPr>
      </w:pPr>
    </w:p>
    <w:p w14:paraId="050FF0FB" w14:textId="77777777" w:rsidR="009C22DE" w:rsidRDefault="003C20F4" w:rsidP="00FF1E48">
      <w:pPr>
        <w:pStyle w:val="ListParagraph"/>
        <w:numPr>
          <w:ilvl w:val="0"/>
          <w:numId w:val="4"/>
        </w:numPr>
        <w:ind w:left="426"/>
        <w:rPr>
          <w:rFonts w:asciiTheme="majorHAnsi" w:hAnsiTheme="majorHAnsi"/>
          <w:b/>
          <w:color w:val="000000" w:themeColor="text1"/>
          <w:sz w:val="22"/>
          <w:szCs w:val="22"/>
        </w:rPr>
      </w:pPr>
      <w:r w:rsidRPr="009576D1">
        <w:rPr>
          <w:rFonts w:asciiTheme="majorHAnsi" w:hAnsiTheme="majorHAnsi"/>
          <w:b/>
          <w:color w:val="000000" w:themeColor="text1"/>
          <w:sz w:val="22"/>
          <w:szCs w:val="22"/>
        </w:rPr>
        <w:t>Irregularities</w:t>
      </w:r>
    </w:p>
    <w:p w14:paraId="050FF0FC" w14:textId="77777777" w:rsidR="005153C9" w:rsidRPr="005153C9" w:rsidRDefault="003C20F4" w:rsidP="00E360CE">
      <w:pPr>
        <w:pStyle w:val="ListParagraph"/>
        <w:ind w:left="426"/>
        <w:rPr>
          <w:rFonts w:asciiTheme="majorHAnsi" w:hAnsiTheme="majorHAnsi"/>
          <w:color w:val="000000" w:themeColor="text1"/>
          <w:sz w:val="22"/>
          <w:szCs w:val="22"/>
        </w:rPr>
      </w:pPr>
      <w:r w:rsidRPr="005153C9">
        <w:rPr>
          <w:rFonts w:asciiTheme="majorHAnsi" w:hAnsiTheme="majorHAnsi"/>
          <w:color w:val="000000" w:themeColor="text1"/>
          <w:sz w:val="22"/>
          <w:szCs w:val="22"/>
        </w:rPr>
        <w:t>No irregularities have happened</w:t>
      </w:r>
    </w:p>
    <w:p w14:paraId="050FF0FD" w14:textId="77777777" w:rsidR="009C22DE" w:rsidRPr="009576D1" w:rsidRDefault="009C22DE" w:rsidP="009C22DE">
      <w:pPr>
        <w:rPr>
          <w:b/>
          <w:color w:val="000000" w:themeColor="text1"/>
        </w:rPr>
      </w:pPr>
    </w:p>
    <w:p w14:paraId="050FF0FE" w14:textId="77777777" w:rsidR="009C22DE" w:rsidRPr="00250744" w:rsidRDefault="003C20F4" w:rsidP="00FF1E48">
      <w:pPr>
        <w:pStyle w:val="ListParagraph"/>
        <w:numPr>
          <w:ilvl w:val="0"/>
          <w:numId w:val="4"/>
        </w:numPr>
        <w:ind w:left="426"/>
        <w:rPr>
          <w:rFonts w:asciiTheme="majorHAnsi" w:hAnsiTheme="majorHAnsi"/>
          <w:b/>
          <w:color w:val="FF0000"/>
          <w:sz w:val="22"/>
          <w:szCs w:val="22"/>
        </w:rPr>
      </w:pPr>
      <w:r w:rsidRPr="009576D1">
        <w:rPr>
          <w:rFonts w:asciiTheme="majorHAnsi" w:hAnsiTheme="majorHAnsi"/>
          <w:b/>
          <w:color w:val="000000" w:themeColor="text1"/>
          <w:sz w:val="22"/>
          <w:szCs w:val="22"/>
        </w:rPr>
        <w:t>Audit</w:t>
      </w:r>
    </w:p>
    <w:p w14:paraId="050FF0FF" w14:textId="77777777" w:rsidR="00250744" w:rsidRPr="005153C9" w:rsidRDefault="003C20F4" w:rsidP="00E360CE">
      <w:pPr>
        <w:pStyle w:val="ListParagraph"/>
        <w:ind w:left="426"/>
        <w:rPr>
          <w:rFonts w:asciiTheme="majorHAnsi" w:hAnsiTheme="majorHAnsi"/>
          <w:color w:val="000000" w:themeColor="text1"/>
          <w:sz w:val="22"/>
          <w:szCs w:val="22"/>
        </w:rPr>
      </w:pPr>
      <w:r w:rsidRPr="005153C9">
        <w:rPr>
          <w:rFonts w:asciiTheme="majorHAnsi" w:hAnsiTheme="majorHAnsi"/>
          <w:color w:val="000000" w:themeColor="text1"/>
          <w:sz w:val="22"/>
          <w:szCs w:val="22"/>
        </w:rPr>
        <w:t>No audits have been undertaken</w:t>
      </w:r>
    </w:p>
    <w:p w14:paraId="050FF100" w14:textId="77777777" w:rsidR="00250744" w:rsidRPr="009576D1" w:rsidRDefault="00250744" w:rsidP="00250744">
      <w:pPr>
        <w:pStyle w:val="ListParagraph"/>
        <w:rPr>
          <w:rFonts w:asciiTheme="majorHAnsi" w:hAnsiTheme="majorHAnsi"/>
          <w:b/>
          <w:color w:val="FF0000"/>
          <w:sz w:val="22"/>
          <w:szCs w:val="22"/>
        </w:rPr>
      </w:pPr>
    </w:p>
    <w:p w14:paraId="5F368ACD" w14:textId="791DAF02" w:rsidR="00ED2796" w:rsidRPr="00C52BE8" w:rsidRDefault="003C20F4" w:rsidP="00C52BE8">
      <w:pPr>
        <w:spacing w:after="160" w:line="259" w:lineRule="auto"/>
        <w:jc w:val="left"/>
        <w:rPr>
          <w:rFonts w:eastAsiaTheme="majorEastAsia"/>
          <w:b/>
          <w:color w:val="2E74B5" w:themeColor="accent1" w:themeShade="BF"/>
        </w:rPr>
      </w:pPr>
      <w:r>
        <w:br w:type="page"/>
      </w:r>
    </w:p>
    <w:p w14:paraId="050FF102" w14:textId="77777777" w:rsidR="009C22DE" w:rsidRDefault="003C20F4" w:rsidP="00FF1E48">
      <w:pPr>
        <w:pStyle w:val="Heading1"/>
        <w:numPr>
          <w:ilvl w:val="0"/>
          <w:numId w:val="8"/>
        </w:numPr>
        <w:rPr>
          <w:rFonts w:cstheme="majorHAnsi"/>
          <w:sz w:val="22"/>
          <w:szCs w:val="22"/>
        </w:rPr>
      </w:pPr>
      <w:r w:rsidRPr="009576D1">
        <w:rPr>
          <w:rFonts w:cstheme="majorHAnsi"/>
          <w:sz w:val="22"/>
          <w:szCs w:val="22"/>
        </w:rPr>
        <w:lastRenderedPageBreak/>
        <w:t>Communication</w:t>
      </w:r>
    </w:p>
    <w:p w14:paraId="050FF103" w14:textId="77777777" w:rsidR="00250744" w:rsidRPr="00250744" w:rsidRDefault="00250744" w:rsidP="00250744"/>
    <w:p w14:paraId="050FF104" w14:textId="77777777" w:rsidR="001601B0" w:rsidRDefault="001601B0" w:rsidP="001601B0">
      <w:r>
        <w:t xml:space="preserve">Main communication channels: </w:t>
      </w:r>
    </w:p>
    <w:p w14:paraId="050FF105" w14:textId="77777777" w:rsidR="001601B0" w:rsidRPr="000A15EF" w:rsidRDefault="001601B0" w:rsidP="001601B0">
      <w:pPr>
        <w:pStyle w:val="ListParagraph"/>
        <w:numPr>
          <w:ilvl w:val="0"/>
          <w:numId w:val="12"/>
        </w:numPr>
        <w:rPr>
          <w:rFonts w:asciiTheme="majorHAnsi" w:hAnsiTheme="majorHAnsi"/>
          <w:sz w:val="22"/>
          <w:szCs w:val="22"/>
        </w:rPr>
      </w:pPr>
      <w:r w:rsidRPr="000A15EF">
        <w:rPr>
          <w:rFonts w:asciiTheme="majorHAnsi" w:hAnsiTheme="majorHAnsi"/>
          <w:sz w:val="22"/>
          <w:szCs w:val="22"/>
        </w:rPr>
        <w:t xml:space="preserve">Homepage </w:t>
      </w:r>
      <w:hyperlink r:id="rId11" w:history="1">
        <w:r w:rsidRPr="000A15EF">
          <w:rPr>
            <w:rStyle w:val="Hyperlink"/>
            <w:rFonts w:asciiTheme="majorHAnsi" w:hAnsiTheme="majorHAnsi"/>
            <w:sz w:val="22"/>
            <w:szCs w:val="22"/>
          </w:rPr>
          <w:t>www.eeagrants.fin.ee</w:t>
        </w:r>
      </w:hyperlink>
      <w:r w:rsidRPr="000A15EF">
        <w:rPr>
          <w:rFonts w:asciiTheme="majorHAnsi" w:hAnsiTheme="majorHAnsi"/>
          <w:sz w:val="22"/>
          <w:szCs w:val="22"/>
        </w:rPr>
        <w:t xml:space="preserve">  </w:t>
      </w:r>
    </w:p>
    <w:p w14:paraId="050FF106" w14:textId="77777777" w:rsidR="001601B0" w:rsidRPr="000A15EF" w:rsidRDefault="001601B0" w:rsidP="001601B0">
      <w:pPr>
        <w:pStyle w:val="ListParagraph"/>
        <w:numPr>
          <w:ilvl w:val="1"/>
          <w:numId w:val="12"/>
        </w:numPr>
        <w:rPr>
          <w:rFonts w:asciiTheme="majorHAnsi" w:hAnsiTheme="majorHAnsi"/>
          <w:sz w:val="22"/>
          <w:szCs w:val="22"/>
        </w:rPr>
      </w:pPr>
      <w:r w:rsidRPr="000A15EF">
        <w:rPr>
          <w:rFonts w:asciiTheme="majorHAnsi" w:hAnsiTheme="majorHAnsi"/>
          <w:sz w:val="22"/>
          <w:szCs w:val="22"/>
        </w:rPr>
        <w:t>Updated information about ongoing and upcoming events</w:t>
      </w:r>
    </w:p>
    <w:p w14:paraId="050FF107" w14:textId="77777777" w:rsidR="001601B0" w:rsidRPr="000A15EF" w:rsidRDefault="001601B0" w:rsidP="001601B0">
      <w:pPr>
        <w:pStyle w:val="ListParagraph"/>
        <w:numPr>
          <w:ilvl w:val="1"/>
          <w:numId w:val="12"/>
        </w:numPr>
        <w:rPr>
          <w:rFonts w:asciiTheme="majorHAnsi" w:hAnsiTheme="majorHAnsi"/>
          <w:sz w:val="22"/>
          <w:szCs w:val="22"/>
        </w:rPr>
      </w:pPr>
      <w:r w:rsidRPr="000A15EF">
        <w:rPr>
          <w:rFonts w:asciiTheme="majorHAnsi" w:hAnsiTheme="majorHAnsi"/>
          <w:sz w:val="22"/>
          <w:szCs w:val="22"/>
        </w:rPr>
        <w:t>All documents (legislation)</w:t>
      </w:r>
    </w:p>
    <w:p w14:paraId="050FF108" w14:textId="77777777" w:rsidR="001601B0" w:rsidRPr="000A15EF" w:rsidRDefault="001601B0" w:rsidP="001601B0">
      <w:pPr>
        <w:pStyle w:val="ListParagraph"/>
        <w:numPr>
          <w:ilvl w:val="1"/>
          <w:numId w:val="12"/>
        </w:numPr>
        <w:rPr>
          <w:rFonts w:asciiTheme="majorHAnsi" w:hAnsiTheme="majorHAnsi"/>
          <w:sz w:val="22"/>
          <w:szCs w:val="22"/>
        </w:rPr>
      </w:pPr>
      <w:r w:rsidRPr="000A15EF">
        <w:rPr>
          <w:rFonts w:asciiTheme="majorHAnsi" w:hAnsiTheme="majorHAnsi"/>
          <w:sz w:val="22"/>
          <w:szCs w:val="22"/>
        </w:rPr>
        <w:t>English and Estonian languages</w:t>
      </w:r>
    </w:p>
    <w:p w14:paraId="050FF109" w14:textId="77777777" w:rsidR="001601B0" w:rsidRPr="000A15EF" w:rsidRDefault="001601B0" w:rsidP="001601B0">
      <w:pPr>
        <w:pStyle w:val="ListParagraph"/>
        <w:numPr>
          <w:ilvl w:val="0"/>
          <w:numId w:val="12"/>
        </w:numPr>
        <w:rPr>
          <w:rFonts w:asciiTheme="majorHAnsi" w:hAnsiTheme="majorHAnsi"/>
          <w:sz w:val="22"/>
          <w:szCs w:val="22"/>
        </w:rPr>
      </w:pPr>
      <w:r w:rsidRPr="000A15EF">
        <w:rPr>
          <w:rFonts w:asciiTheme="majorHAnsi" w:hAnsiTheme="majorHAnsi"/>
          <w:sz w:val="22"/>
          <w:szCs w:val="22"/>
        </w:rPr>
        <w:t xml:space="preserve">Social media page „EEA and Norway Grants Estonia“ </w:t>
      </w:r>
    </w:p>
    <w:p w14:paraId="050FF10A" w14:textId="77777777" w:rsidR="001601B0" w:rsidRPr="000A15EF" w:rsidRDefault="001601B0" w:rsidP="001601B0">
      <w:pPr>
        <w:pStyle w:val="ListParagraph"/>
        <w:numPr>
          <w:ilvl w:val="1"/>
          <w:numId w:val="12"/>
        </w:numPr>
        <w:rPr>
          <w:rFonts w:asciiTheme="majorHAnsi" w:hAnsiTheme="majorHAnsi"/>
          <w:sz w:val="22"/>
          <w:szCs w:val="22"/>
        </w:rPr>
      </w:pPr>
      <w:r w:rsidRPr="000A15EF">
        <w:rPr>
          <w:rFonts w:asciiTheme="majorHAnsi" w:hAnsiTheme="majorHAnsi"/>
          <w:sz w:val="22"/>
          <w:szCs w:val="22"/>
        </w:rPr>
        <w:t xml:space="preserve">439 followers </w:t>
      </w:r>
    </w:p>
    <w:p w14:paraId="050FF10B" w14:textId="77777777" w:rsidR="001601B0" w:rsidRPr="000A15EF" w:rsidRDefault="001601B0" w:rsidP="001601B0">
      <w:pPr>
        <w:pStyle w:val="ListParagraph"/>
        <w:numPr>
          <w:ilvl w:val="1"/>
          <w:numId w:val="12"/>
        </w:numPr>
        <w:rPr>
          <w:rFonts w:asciiTheme="majorHAnsi" w:hAnsiTheme="majorHAnsi"/>
          <w:sz w:val="22"/>
          <w:szCs w:val="22"/>
        </w:rPr>
      </w:pPr>
      <w:r w:rsidRPr="000A15EF">
        <w:rPr>
          <w:rFonts w:asciiTheme="majorHAnsi" w:hAnsiTheme="majorHAnsi"/>
          <w:sz w:val="22"/>
          <w:szCs w:val="22"/>
        </w:rPr>
        <w:t>Syncronized information with homepage</w:t>
      </w:r>
    </w:p>
    <w:p w14:paraId="050FF10C" w14:textId="77777777" w:rsidR="001601B0" w:rsidRPr="000A15EF" w:rsidRDefault="001601B0" w:rsidP="001601B0"/>
    <w:p w14:paraId="050FF10D" w14:textId="77777777" w:rsidR="001601B0" w:rsidRPr="000A15EF" w:rsidRDefault="001601B0" w:rsidP="001601B0">
      <w:pPr>
        <w:spacing w:after="160"/>
        <w:rPr>
          <w:rFonts w:eastAsiaTheme="majorEastAsia"/>
          <w:b/>
          <w:color w:val="2E74B5" w:themeColor="accent1" w:themeShade="BF"/>
        </w:rPr>
      </w:pPr>
      <w:r w:rsidRPr="000A15EF">
        <w:rPr>
          <w:rFonts w:eastAsiaTheme="majorEastAsia"/>
          <w:b/>
          <w:color w:val="2E74B5" w:themeColor="accent1" w:themeShade="BF"/>
        </w:rPr>
        <w:t>Public awareness of EEA and Norway Grants in Estonia</w:t>
      </w:r>
    </w:p>
    <w:p w14:paraId="050FF10E" w14:textId="77777777" w:rsidR="001601B0" w:rsidRDefault="001601B0" w:rsidP="001601B0">
      <w:pPr>
        <w:spacing w:after="160"/>
      </w:pPr>
      <w:r w:rsidRPr="000A15EF">
        <w:t>In last three years, it has been 11% (2016), 19% (2017) and</w:t>
      </w:r>
      <w:r>
        <w:t xml:space="preserve"> 14% (2018). The next public awareness survey will take place in September-October and the results will be public in the first half of November 2019. The results will be presented to public audience on web page and in social media.</w:t>
      </w:r>
    </w:p>
    <w:p w14:paraId="050FF10F" w14:textId="77777777" w:rsidR="001601B0" w:rsidRDefault="001601B0" w:rsidP="001601B0">
      <w:pPr>
        <w:spacing w:after="160"/>
      </w:pPr>
      <w:r>
        <w:t>Last year the main activity that was done to raise public awareness about EEA and Norway Grants in Estonia was a big TV Project named „Trip around Estonia“ in collaboration with European Structural Funds. It ran on national TV channel 16 times from September to December and was on air in absolute prime time – Friday evening. TV host was beloved Estonian singer Ivo Linna and all episodes presented projects done in Estonia, 4 of them funded from EEA and Norway Grants. That TV show was very popular and there were 102 000 viewers per episode in average and national TV also rebroadcasted the show in summer 2019. The viewability of that TV show was in TOP 5 in many months.</w:t>
      </w:r>
    </w:p>
    <w:p w14:paraId="050FF110" w14:textId="77777777" w:rsidR="001601B0" w:rsidRDefault="001601B0" w:rsidP="007F6AC7">
      <w:r>
        <w:t xml:space="preserve">In </w:t>
      </w:r>
      <w:r w:rsidR="000A15EF">
        <w:t>2018,</w:t>
      </w:r>
      <w:r>
        <w:t xml:space="preserve"> a new EEA and Norway Grants communication strategy 2014-2021 was written.</w:t>
      </w:r>
    </w:p>
    <w:p w14:paraId="6640F166" w14:textId="77777777" w:rsidR="007F6AC7" w:rsidRDefault="007F6AC7" w:rsidP="007F6AC7"/>
    <w:p w14:paraId="050FF111" w14:textId="77777777" w:rsidR="001601B0" w:rsidRPr="001601B0" w:rsidRDefault="001601B0" w:rsidP="001601B0">
      <w:pPr>
        <w:spacing w:after="160"/>
        <w:rPr>
          <w:b/>
          <w:color w:val="0070C0"/>
        </w:rPr>
      </w:pPr>
      <w:r w:rsidRPr="001601B0">
        <w:rPr>
          <w:b/>
          <w:color w:val="0070C0"/>
        </w:rPr>
        <w:t>In year 2019</w:t>
      </w:r>
    </w:p>
    <w:p w14:paraId="050FF112" w14:textId="77777777" w:rsidR="001601B0" w:rsidRPr="001601B0" w:rsidRDefault="001601B0" w:rsidP="001601B0">
      <w:pPr>
        <w:pStyle w:val="ListParagraph"/>
        <w:numPr>
          <w:ilvl w:val="0"/>
          <w:numId w:val="12"/>
        </w:numPr>
        <w:rPr>
          <w:rFonts w:asciiTheme="majorHAnsi" w:hAnsiTheme="majorHAnsi"/>
          <w:sz w:val="22"/>
          <w:szCs w:val="22"/>
        </w:rPr>
      </w:pPr>
      <w:r w:rsidRPr="001601B0">
        <w:rPr>
          <w:rFonts w:asciiTheme="majorHAnsi" w:hAnsiTheme="majorHAnsi"/>
          <w:sz w:val="22"/>
          <w:szCs w:val="22"/>
        </w:rPr>
        <w:t>We changed social media logo to a jubilee logo;</w:t>
      </w:r>
    </w:p>
    <w:p w14:paraId="050FF113" w14:textId="77777777" w:rsidR="001601B0" w:rsidRPr="001601B0" w:rsidRDefault="001601B0" w:rsidP="001601B0">
      <w:pPr>
        <w:pStyle w:val="ListParagraph"/>
        <w:numPr>
          <w:ilvl w:val="0"/>
          <w:numId w:val="12"/>
        </w:numPr>
        <w:rPr>
          <w:rFonts w:asciiTheme="majorHAnsi" w:hAnsiTheme="majorHAnsi"/>
          <w:sz w:val="22"/>
          <w:szCs w:val="22"/>
        </w:rPr>
      </w:pPr>
      <w:r w:rsidRPr="001601B0">
        <w:rPr>
          <w:rFonts w:asciiTheme="majorHAnsi" w:hAnsiTheme="majorHAnsi"/>
          <w:sz w:val="22"/>
          <w:szCs w:val="22"/>
        </w:rPr>
        <w:t>A new public awareness survey will take place in September, we will get the results in November;</w:t>
      </w:r>
    </w:p>
    <w:p w14:paraId="050FF114" w14:textId="77777777" w:rsidR="001601B0" w:rsidRPr="001601B0" w:rsidRDefault="001601B0" w:rsidP="001601B0">
      <w:pPr>
        <w:pStyle w:val="ListParagraph"/>
        <w:numPr>
          <w:ilvl w:val="0"/>
          <w:numId w:val="12"/>
        </w:numPr>
        <w:rPr>
          <w:rFonts w:asciiTheme="majorHAnsi" w:hAnsiTheme="majorHAnsi"/>
          <w:sz w:val="22"/>
          <w:szCs w:val="22"/>
        </w:rPr>
      </w:pPr>
      <w:r w:rsidRPr="001601B0">
        <w:rPr>
          <w:rFonts w:asciiTheme="majorHAnsi" w:hAnsiTheme="majorHAnsi"/>
          <w:sz w:val="22"/>
          <w:szCs w:val="22"/>
        </w:rPr>
        <w:t>Formation of a new communication officers network for programme operators (PO);</w:t>
      </w:r>
    </w:p>
    <w:p w14:paraId="050FF115" w14:textId="77777777" w:rsidR="001601B0" w:rsidRPr="001601B0" w:rsidRDefault="001601B0" w:rsidP="001601B0">
      <w:pPr>
        <w:pStyle w:val="ListParagraph"/>
        <w:numPr>
          <w:ilvl w:val="0"/>
          <w:numId w:val="12"/>
        </w:numPr>
        <w:rPr>
          <w:rFonts w:asciiTheme="majorHAnsi" w:hAnsiTheme="majorHAnsi"/>
          <w:sz w:val="22"/>
          <w:szCs w:val="22"/>
        </w:rPr>
      </w:pPr>
      <w:r>
        <w:rPr>
          <w:rFonts w:asciiTheme="majorHAnsi" w:hAnsiTheme="majorHAnsi"/>
          <w:sz w:val="22"/>
          <w:szCs w:val="22"/>
        </w:rPr>
        <w:lastRenderedPageBreak/>
        <w:t>Consulting Programme Operator</w:t>
      </w:r>
      <w:r w:rsidRPr="001601B0">
        <w:rPr>
          <w:rFonts w:asciiTheme="majorHAnsi" w:hAnsiTheme="majorHAnsi"/>
          <w:sz w:val="22"/>
          <w:szCs w:val="22"/>
        </w:rPr>
        <w:t>s about their content in communication strategy and planning a joint social media strategy;</w:t>
      </w:r>
    </w:p>
    <w:p w14:paraId="050FF116" w14:textId="77777777" w:rsidR="001601B0" w:rsidRPr="001601B0" w:rsidRDefault="001601B0" w:rsidP="001601B0">
      <w:pPr>
        <w:pStyle w:val="ListParagraph"/>
        <w:numPr>
          <w:ilvl w:val="0"/>
          <w:numId w:val="12"/>
        </w:numPr>
        <w:rPr>
          <w:rFonts w:asciiTheme="majorHAnsi" w:hAnsiTheme="majorHAnsi"/>
          <w:sz w:val="22"/>
          <w:szCs w:val="22"/>
        </w:rPr>
      </w:pPr>
      <w:r w:rsidRPr="001601B0">
        <w:rPr>
          <w:rFonts w:asciiTheme="majorHAnsi" w:hAnsiTheme="majorHAnsi"/>
          <w:sz w:val="22"/>
          <w:szCs w:val="22"/>
        </w:rPr>
        <w:t>Two TV</w:t>
      </w:r>
      <w:r>
        <w:rPr>
          <w:rFonts w:asciiTheme="majorHAnsi" w:hAnsiTheme="majorHAnsi"/>
          <w:sz w:val="22"/>
          <w:szCs w:val="22"/>
        </w:rPr>
        <w:t xml:space="preserve"> clips in a TV show called “Estonia - full of experiences”</w:t>
      </w:r>
      <w:r w:rsidRPr="001601B0">
        <w:rPr>
          <w:rFonts w:asciiTheme="majorHAnsi" w:hAnsiTheme="majorHAnsi"/>
          <w:sz w:val="22"/>
          <w:szCs w:val="22"/>
        </w:rPr>
        <w:t xml:space="preserve"> presenting projects, success stories funded by EEA and Norway Grants (content marketing). TV show was on air on Kanal 2 and on prime time: Monday evening at 9 p.m. + two rebroadcasts in other week day mornings. One clip was about manor schools that is widely known project in Estonia. A number of buildings were restored with support from the Ministry of Culture. The state's contribution laid the groundwork for channeling EEA and Norway Grants funds for revitalizing the cultural heritage. This allowed the children’s learning environment to be improved and enabled multifunctional use of the buildings. The amount of EEA and Norway Grants funding was mentioned in TV clip and there was used the jubilee logo</w:t>
      </w:r>
      <w:r w:rsidR="00535EB8">
        <w:rPr>
          <w:rFonts w:asciiTheme="majorHAnsi" w:hAnsiTheme="majorHAnsi"/>
          <w:sz w:val="22"/>
          <w:szCs w:val="22"/>
        </w:rPr>
        <w:t>;</w:t>
      </w:r>
      <w:r w:rsidRPr="001601B0">
        <w:rPr>
          <w:rFonts w:asciiTheme="majorHAnsi" w:hAnsiTheme="majorHAnsi"/>
          <w:sz w:val="22"/>
          <w:szCs w:val="22"/>
        </w:rPr>
        <w:t xml:space="preserve"> </w:t>
      </w:r>
    </w:p>
    <w:p w14:paraId="050FF117" w14:textId="77777777" w:rsidR="001601B0" w:rsidRPr="001601B0" w:rsidRDefault="001601B0" w:rsidP="001601B0">
      <w:pPr>
        <w:pStyle w:val="ListParagraph"/>
        <w:numPr>
          <w:ilvl w:val="0"/>
          <w:numId w:val="12"/>
        </w:numPr>
        <w:rPr>
          <w:rFonts w:asciiTheme="majorHAnsi" w:hAnsiTheme="majorHAnsi"/>
          <w:sz w:val="22"/>
          <w:szCs w:val="22"/>
        </w:rPr>
      </w:pPr>
      <w:r w:rsidRPr="001601B0">
        <w:rPr>
          <w:rFonts w:asciiTheme="majorHAnsi" w:hAnsiTheme="majorHAnsi"/>
          <w:sz w:val="22"/>
          <w:szCs w:val="22"/>
        </w:rPr>
        <w:t xml:space="preserve">The other TV clip was about Skeleton Technologies, a successful Estonian company that had support from EEA and Norway Grants years ago and they are a huge success now, expanding and describing themselves like this: “For us, developing and producing the best ultracapacitor cells, modules, and systems in the world is means to an end: helping companies save energy. Ultracapacitors excel where other energy storage technologies fail and this gives us the opportunity to help companies that otherwise might not be able to hybridize or electrify their businesses.” </w:t>
      </w:r>
      <w:hyperlink r:id="rId12" w:history="1">
        <w:r w:rsidR="00535EB8" w:rsidRPr="00F3467F">
          <w:rPr>
            <w:rStyle w:val="Hyperlink"/>
            <w:rFonts w:asciiTheme="majorHAnsi" w:hAnsiTheme="majorHAnsi"/>
            <w:sz w:val="22"/>
            <w:szCs w:val="22"/>
          </w:rPr>
          <w:t>https://www.skeletontech.com/</w:t>
        </w:r>
      </w:hyperlink>
      <w:r w:rsidR="00535EB8">
        <w:rPr>
          <w:rFonts w:asciiTheme="majorHAnsi" w:hAnsiTheme="majorHAnsi"/>
          <w:sz w:val="22"/>
          <w:szCs w:val="22"/>
        </w:rPr>
        <w:t xml:space="preserve">. </w:t>
      </w:r>
      <w:r w:rsidRPr="001601B0">
        <w:rPr>
          <w:rFonts w:asciiTheme="majorHAnsi" w:hAnsiTheme="majorHAnsi"/>
          <w:sz w:val="22"/>
          <w:szCs w:val="22"/>
        </w:rPr>
        <w:t xml:space="preserve">The amount of EEA and Norway Grants funding was mentioned in TV clip and there </w:t>
      </w:r>
      <w:r w:rsidR="000A15EF" w:rsidRPr="001601B0">
        <w:rPr>
          <w:rFonts w:asciiTheme="majorHAnsi" w:hAnsiTheme="majorHAnsi"/>
          <w:sz w:val="22"/>
          <w:szCs w:val="22"/>
        </w:rPr>
        <w:t>was</w:t>
      </w:r>
      <w:r w:rsidRPr="001601B0">
        <w:rPr>
          <w:rFonts w:asciiTheme="majorHAnsi" w:hAnsiTheme="majorHAnsi"/>
          <w:sz w:val="22"/>
          <w:szCs w:val="22"/>
        </w:rPr>
        <w:t xml:space="preserve"> used the jubilee logo. </w:t>
      </w:r>
    </w:p>
    <w:p w14:paraId="56CFD8F4" w14:textId="188F5F51" w:rsidR="00ED2796" w:rsidRPr="00C52BE8" w:rsidRDefault="001601B0" w:rsidP="00C52BE8">
      <w:pPr>
        <w:pStyle w:val="ListParagraph"/>
        <w:numPr>
          <w:ilvl w:val="0"/>
          <w:numId w:val="12"/>
        </w:numPr>
        <w:spacing w:after="160"/>
        <w:rPr>
          <w:rFonts w:eastAsiaTheme="majorEastAsia"/>
          <w:b/>
          <w:color w:val="2E74B5" w:themeColor="accent1" w:themeShade="BF"/>
        </w:rPr>
      </w:pPr>
      <w:r w:rsidRPr="001601B0">
        <w:rPr>
          <w:rFonts w:asciiTheme="majorHAnsi" w:hAnsiTheme="majorHAnsi"/>
          <w:sz w:val="22"/>
          <w:szCs w:val="22"/>
        </w:rPr>
        <w:t xml:space="preserve">Both videos we also shared on Facebook (and the Embassy of Norway reshared them from there) and we plan to upload them also to our homepage. </w:t>
      </w:r>
    </w:p>
    <w:p w14:paraId="050FF11B" w14:textId="77777777" w:rsidR="00250744" w:rsidRDefault="003C20F4" w:rsidP="00FF1E48">
      <w:pPr>
        <w:pStyle w:val="Heading1"/>
        <w:numPr>
          <w:ilvl w:val="0"/>
          <w:numId w:val="8"/>
        </w:numPr>
        <w:rPr>
          <w:rFonts w:cstheme="majorHAnsi"/>
          <w:sz w:val="22"/>
          <w:szCs w:val="22"/>
        </w:rPr>
      </w:pPr>
      <w:r w:rsidRPr="009576D1">
        <w:rPr>
          <w:rFonts w:cstheme="majorHAnsi"/>
          <w:sz w:val="22"/>
          <w:szCs w:val="22"/>
        </w:rPr>
        <w:t xml:space="preserve">Monitoring </w:t>
      </w:r>
      <w:r w:rsidR="00CE14B2" w:rsidRPr="009576D1">
        <w:rPr>
          <w:rFonts w:cstheme="majorHAnsi"/>
          <w:sz w:val="22"/>
          <w:szCs w:val="22"/>
        </w:rPr>
        <w:t>and evaluation</w:t>
      </w:r>
    </w:p>
    <w:p w14:paraId="050FF11C" w14:textId="77777777" w:rsidR="00547D07" w:rsidRPr="00547D07" w:rsidRDefault="00547D07" w:rsidP="00547D07"/>
    <w:p w14:paraId="050FF11D" w14:textId="77777777" w:rsidR="007E0446" w:rsidRPr="007E0446" w:rsidRDefault="003C20F4" w:rsidP="00FF1E48">
      <w:pPr>
        <w:pStyle w:val="ListParagraph"/>
        <w:numPr>
          <w:ilvl w:val="0"/>
          <w:numId w:val="2"/>
        </w:numPr>
        <w:ind w:left="426"/>
        <w:rPr>
          <w:rFonts w:asciiTheme="majorHAnsi" w:hAnsiTheme="majorHAnsi"/>
          <w:b/>
          <w:sz w:val="22"/>
          <w:szCs w:val="22"/>
          <w:u w:val="single"/>
        </w:rPr>
      </w:pPr>
      <w:r w:rsidRPr="009576D1">
        <w:rPr>
          <w:rFonts w:asciiTheme="majorHAnsi" w:eastAsiaTheme="majorEastAsia" w:hAnsiTheme="majorHAnsi"/>
          <w:b/>
          <w:sz w:val="22"/>
          <w:szCs w:val="22"/>
        </w:rPr>
        <w:t>Monitoring</w:t>
      </w:r>
    </w:p>
    <w:p w14:paraId="050FF11E" w14:textId="77777777" w:rsidR="009C22DE" w:rsidRPr="007E0446" w:rsidRDefault="003C20F4" w:rsidP="00E360CE">
      <w:pPr>
        <w:pStyle w:val="ListParagraph"/>
        <w:ind w:left="426"/>
        <w:rPr>
          <w:rFonts w:asciiTheme="majorHAnsi" w:hAnsiTheme="majorHAnsi"/>
          <w:b/>
          <w:sz w:val="22"/>
          <w:szCs w:val="22"/>
          <w:u w:val="single"/>
        </w:rPr>
      </w:pPr>
      <w:r w:rsidRPr="007E0446">
        <w:rPr>
          <w:rFonts w:asciiTheme="majorHAnsi" w:hAnsiTheme="majorHAnsi"/>
          <w:sz w:val="22"/>
          <w:szCs w:val="22"/>
        </w:rPr>
        <w:t>Due to the early stage of implementation,</w:t>
      </w:r>
      <w:r w:rsidR="00457BEC">
        <w:rPr>
          <w:rFonts w:asciiTheme="majorHAnsi" w:hAnsiTheme="majorHAnsi"/>
          <w:sz w:val="22"/>
          <w:szCs w:val="22"/>
        </w:rPr>
        <w:t xml:space="preserve"> no</w:t>
      </w:r>
      <w:r w:rsidRPr="007E0446">
        <w:rPr>
          <w:rFonts w:asciiTheme="majorHAnsi" w:hAnsiTheme="majorHAnsi"/>
          <w:sz w:val="22"/>
          <w:szCs w:val="22"/>
        </w:rPr>
        <w:t xml:space="preserve"> monitoring activities were</w:t>
      </w:r>
      <w:r w:rsidR="00457BEC">
        <w:rPr>
          <w:rFonts w:asciiTheme="majorHAnsi" w:hAnsiTheme="majorHAnsi"/>
          <w:sz w:val="22"/>
          <w:szCs w:val="22"/>
        </w:rPr>
        <w:t xml:space="preserve"> </w:t>
      </w:r>
      <w:r w:rsidRPr="007E0446">
        <w:rPr>
          <w:rFonts w:asciiTheme="majorHAnsi" w:hAnsiTheme="majorHAnsi"/>
          <w:sz w:val="22"/>
          <w:szCs w:val="22"/>
        </w:rPr>
        <w:t>carried out by the NFP</w:t>
      </w:r>
      <w:r>
        <w:rPr>
          <w:rFonts w:asciiTheme="majorHAnsi" w:hAnsiTheme="majorHAnsi"/>
          <w:sz w:val="22"/>
          <w:szCs w:val="22"/>
        </w:rPr>
        <w:t xml:space="preserve">. </w:t>
      </w:r>
    </w:p>
    <w:p w14:paraId="050FF11F" w14:textId="77777777" w:rsidR="007E0446" w:rsidRPr="009576D1" w:rsidRDefault="007E0446" w:rsidP="007E0446">
      <w:pPr>
        <w:pStyle w:val="ListParagraph"/>
        <w:rPr>
          <w:rFonts w:asciiTheme="majorHAnsi" w:hAnsiTheme="majorHAnsi"/>
          <w:b/>
          <w:sz w:val="22"/>
          <w:szCs w:val="22"/>
          <w:u w:val="single"/>
        </w:rPr>
      </w:pPr>
    </w:p>
    <w:p w14:paraId="050FF120" w14:textId="77777777" w:rsidR="00CE14B2" w:rsidRDefault="003C20F4" w:rsidP="00FF1E48">
      <w:pPr>
        <w:pStyle w:val="ListParagraph"/>
        <w:numPr>
          <w:ilvl w:val="0"/>
          <w:numId w:val="2"/>
        </w:numPr>
        <w:ind w:left="426"/>
        <w:rPr>
          <w:rFonts w:asciiTheme="majorHAnsi" w:hAnsiTheme="majorHAnsi"/>
          <w:b/>
          <w:sz w:val="22"/>
          <w:szCs w:val="22"/>
        </w:rPr>
      </w:pPr>
      <w:r w:rsidRPr="009576D1">
        <w:rPr>
          <w:rFonts w:asciiTheme="majorHAnsi" w:hAnsiTheme="majorHAnsi"/>
          <w:b/>
          <w:sz w:val="22"/>
          <w:szCs w:val="22"/>
        </w:rPr>
        <w:t>Evaluation</w:t>
      </w:r>
    </w:p>
    <w:p w14:paraId="050FF121" w14:textId="77777777" w:rsidR="007E0446" w:rsidRPr="007E0446" w:rsidRDefault="003C20F4" w:rsidP="00E360CE">
      <w:pPr>
        <w:pStyle w:val="ListParagraph"/>
        <w:ind w:left="426"/>
        <w:rPr>
          <w:rFonts w:asciiTheme="majorHAnsi" w:hAnsiTheme="majorHAnsi"/>
          <w:sz w:val="22"/>
          <w:szCs w:val="22"/>
        </w:rPr>
      </w:pPr>
      <w:r>
        <w:rPr>
          <w:rFonts w:asciiTheme="majorHAnsi" w:hAnsiTheme="majorHAnsi"/>
          <w:sz w:val="22"/>
          <w:szCs w:val="22"/>
        </w:rPr>
        <w:t xml:space="preserve">The evaluation plan </w:t>
      </w:r>
      <w:r w:rsidR="004E3767">
        <w:rPr>
          <w:rFonts w:asciiTheme="majorHAnsi" w:hAnsiTheme="majorHAnsi"/>
          <w:sz w:val="22"/>
          <w:szCs w:val="22"/>
        </w:rPr>
        <w:t>has</w:t>
      </w:r>
      <w:r>
        <w:rPr>
          <w:rFonts w:asciiTheme="majorHAnsi" w:hAnsiTheme="majorHAnsi"/>
          <w:sz w:val="22"/>
          <w:szCs w:val="22"/>
        </w:rPr>
        <w:t xml:space="preserve"> not </w:t>
      </w:r>
      <w:r w:rsidR="004E3767">
        <w:rPr>
          <w:rFonts w:asciiTheme="majorHAnsi" w:hAnsiTheme="majorHAnsi"/>
          <w:sz w:val="22"/>
          <w:szCs w:val="22"/>
        </w:rPr>
        <w:t xml:space="preserve">been </w:t>
      </w:r>
      <w:r>
        <w:rPr>
          <w:rFonts w:asciiTheme="majorHAnsi" w:hAnsiTheme="majorHAnsi"/>
          <w:sz w:val="22"/>
          <w:szCs w:val="22"/>
        </w:rPr>
        <w:t xml:space="preserve">submitted as </w:t>
      </w:r>
      <w:r w:rsidRPr="007E0446">
        <w:rPr>
          <w:rFonts w:asciiTheme="majorHAnsi" w:hAnsiTheme="majorHAnsi"/>
          <w:sz w:val="22"/>
          <w:szCs w:val="22"/>
        </w:rPr>
        <w:t xml:space="preserve">all program agreements have </w:t>
      </w:r>
      <w:r>
        <w:rPr>
          <w:rFonts w:asciiTheme="majorHAnsi" w:hAnsiTheme="majorHAnsi"/>
          <w:sz w:val="22"/>
          <w:szCs w:val="22"/>
        </w:rPr>
        <w:t>n</w:t>
      </w:r>
      <w:r w:rsidR="004E455F">
        <w:rPr>
          <w:rFonts w:asciiTheme="majorHAnsi" w:hAnsiTheme="majorHAnsi"/>
          <w:sz w:val="22"/>
          <w:szCs w:val="22"/>
        </w:rPr>
        <w:t>ot been</w:t>
      </w:r>
      <w:r w:rsidRPr="007E0446">
        <w:rPr>
          <w:rFonts w:asciiTheme="majorHAnsi" w:hAnsiTheme="majorHAnsi"/>
          <w:sz w:val="22"/>
          <w:szCs w:val="22"/>
        </w:rPr>
        <w:t xml:space="preserve"> signed</w:t>
      </w:r>
      <w:r w:rsidRPr="004E3767">
        <w:rPr>
          <w:rFonts w:asciiTheme="majorHAnsi" w:hAnsiTheme="majorHAnsi"/>
          <w:sz w:val="22"/>
          <w:szCs w:val="22"/>
        </w:rPr>
        <w:t xml:space="preserve"> </w:t>
      </w:r>
      <w:r w:rsidR="004E3767" w:rsidRPr="004E3767">
        <w:rPr>
          <w:rFonts w:asciiTheme="majorHAnsi" w:hAnsiTheme="majorHAnsi"/>
          <w:sz w:val="22"/>
          <w:szCs w:val="22"/>
        </w:rPr>
        <w:t xml:space="preserve">by the time of reporting. </w:t>
      </w:r>
    </w:p>
    <w:p w14:paraId="050FF122" w14:textId="77777777" w:rsidR="007E0446" w:rsidRDefault="007E0446" w:rsidP="007F6AC7">
      <w:pPr>
        <w:spacing w:after="240"/>
      </w:pPr>
    </w:p>
    <w:p w14:paraId="050FF123" w14:textId="77777777" w:rsidR="00B37F55" w:rsidRPr="009576D1" w:rsidRDefault="003C20F4" w:rsidP="00C52BE8">
      <w:pPr>
        <w:pStyle w:val="Heading1"/>
        <w:numPr>
          <w:ilvl w:val="0"/>
          <w:numId w:val="8"/>
        </w:numPr>
        <w:spacing w:before="0"/>
        <w:ind w:left="357" w:hanging="357"/>
        <w:rPr>
          <w:rFonts w:cstheme="majorHAnsi"/>
          <w:sz w:val="22"/>
          <w:szCs w:val="22"/>
        </w:rPr>
      </w:pPr>
      <w:r w:rsidRPr="009576D1">
        <w:rPr>
          <w:rFonts w:cstheme="majorHAnsi"/>
          <w:sz w:val="22"/>
          <w:szCs w:val="22"/>
        </w:rPr>
        <w:lastRenderedPageBreak/>
        <w:t xml:space="preserve">Issues for the </w:t>
      </w:r>
      <w:r w:rsidR="000F3D41" w:rsidRPr="009576D1">
        <w:rPr>
          <w:rFonts w:cstheme="majorHAnsi"/>
          <w:sz w:val="22"/>
          <w:szCs w:val="22"/>
        </w:rPr>
        <w:t>a</w:t>
      </w:r>
      <w:r w:rsidRPr="009576D1">
        <w:rPr>
          <w:rFonts w:cstheme="majorHAnsi"/>
          <w:sz w:val="22"/>
          <w:szCs w:val="22"/>
        </w:rPr>
        <w:t xml:space="preserve">nnual </w:t>
      </w:r>
      <w:r w:rsidR="000F3D41" w:rsidRPr="009576D1">
        <w:rPr>
          <w:rFonts w:cstheme="majorHAnsi"/>
          <w:sz w:val="22"/>
          <w:szCs w:val="22"/>
        </w:rPr>
        <w:t>m</w:t>
      </w:r>
      <w:r w:rsidRPr="009576D1">
        <w:rPr>
          <w:rFonts w:cstheme="majorHAnsi"/>
          <w:sz w:val="22"/>
          <w:szCs w:val="22"/>
        </w:rPr>
        <w:t>eeting</w:t>
      </w:r>
    </w:p>
    <w:p w14:paraId="050FF124" w14:textId="77777777" w:rsidR="00547D07" w:rsidRDefault="00547D07" w:rsidP="00C52BE8"/>
    <w:p w14:paraId="050FF125" w14:textId="77777777" w:rsidR="009576D1" w:rsidRDefault="00B31372" w:rsidP="000C06B5">
      <w:pPr>
        <w:spacing w:after="160"/>
        <w:rPr>
          <w:rFonts w:eastAsiaTheme="majorEastAsia"/>
          <w:b/>
          <w:color w:val="2E74B5" w:themeColor="accent1" w:themeShade="BF"/>
        </w:rPr>
      </w:pPr>
      <w:r>
        <w:t xml:space="preserve">Estonian National Focal Point would like to </w:t>
      </w:r>
      <w:r w:rsidR="00254DA2">
        <w:t>raise</w:t>
      </w:r>
      <w:r w:rsidR="00623C94">
        <w:t xml:space="preserve"> the</w:t>
      </w:r>
      <w:r>
        <w:t xml:space="preserve"> </w:t>
      </w:r>
      <w:r w:rsidR="00254DA2">
        <w:t>issue</w:t>
      </w:r>
      <w:r>
        <w:t xml:space="preserve"> of using</w:t>
      </w:r>
      <w:r w:rsidR="00AD3BA0">
        <w:t xml:space="preserve"> the</w:t>
      </w:r>
      <w:r>
        <w:t xml:space="preserve"> funds of </w:t>
      </w:r>
      <w:r w:rsidR="00623C94">
        <w:t>T</w:t>
      </w:r>
      <w:r>
        <w:t xml:space="preserve">echnical </w:t>
      </w:r>
      <w:r w:rsidR="00623C94">
        <w:t>A</w:t>
      </w:r>
      <w:r>
        <w:t>ssistance</w:t>
      </w:r>
      <w:r w:rsidRPr="00B31372">
        <w:t xml:space="preserve"> for </w:t>
      </w:r>
      <w:r w:rsidR="00623C94">
        <w:t>2014-2021</w:t>
      </w:r>
      <w:r w:rsidRPr="00B31372">
        <w:t xml:space="preserve"> period, </w:t>
      </w:r>
      <w:r w:rsidR="00254DA2">
        <w:t>as</w:t>
      </w:r>
      <w:r>
        <w:t xml:space="preserve"> </w:t>
      </w:r>
      <w:r w:rsidR="00623C94">
        <w:t xml:space="preserve">at the end of previous period </w:t>
      </w:r>
      <w:r>
        <w:t>donors decided to reallocate Technical Assistance</w:t>
      </w:r>
      <w:r w:rsidRPr="00B31372">
        <w:t xml:space="preserve"> funds of 250 000 euros to bilateral initiative. </w:t>
      </w:r>
      <w:r w:rsidR="00AC5325">
        <w:t>Thus</w:t>
      </w:r>
      <w:r w:rsidRPr="00B31372">
        <w:t>,</w:t>
      </w:r>
      <w:r w:rsidR="00623C94">
        <w:t xml:space="preserve"> the budget of </w:t>
      </w:r>
      <w:r w:rsidR="00254DA2">
        <w:t xml:space="preserve">Technical Assistance </w:t>
      </w:r>
      <w:r w:rsidR="00623C94">
        <w:t>funds was</w:t>
      </w:r>
      <w:r w:rsidRPr="00B31372">
        <w:t xml:space="preserve"> finished </w:t>
      </w:r>
      <w:r w:rsidR="00254DA2">
        <w:t>one</w:t>
      </w:r>
      <w:r w:rsidRPr="00B31372">
        <w:t xml:space="preserve"> year before</w:t>
      </w:r>
      <w:r>
        <w:t xml:space="preserve"> the</w:t>
      </w:r>
      <w:r w:rsidRPr="00B31372">
        <w:t xml:space="preserve"> actual tasks were finished.</w:t>
      </w:r>
      <w:r w:rsidR="00623C94">
        <w:t xml:space="preserve"> Therefore</w:t>
      </w:r>
      <w:r w:rsidR="00AC5325">
        <w:t>,</w:t>
      </w:r>
      <w:r w:rsidR="00623C94">
        <w:t xml:space="preserve"> NFPs/CAs/AAs tasks related to the closing </w:t>
      </w:r>
      <w:r w:rsidR="00AC5325">
        <w:t xml:space="preserve">of </w:t>
      </w:r>
      <w:r w:rsidR="00623C94">
        <w:t xml:space="preserve">previous period have been financed from the </w:t>
      </w:r>
      <w:r w:rsidR="00AC5325">
        <w:t xml:space="preserve">funds of </w:t>
      </w:r>
      <w:r w:rsidR="00623C94">
        <w:t xml:space="preserve">2014-2021 period. </w:t>
      </w:r>
    </w:p>
    <w:sectPr w:rsidR="009576D1" w:rsidSect="008F76C6">
      <w:headerReference w:type="default" r:id="rId13"/>
      <w:footerReference w:type="default" r:id="rId14"/>
      <w:headerReference w:type="first" r:id="rId15"/>
      <w:footerReference w:type="first" r:id="rId16"/>
      <w:pgSz w:w="11900" w:h="16840"/>
      <w:pgMar w:top="1985" w:right="1410" w:bottom="993" w:left="1276"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F12C" w14:textId="77777777" w:rsidR="003C20F4" w:rsidRDefault="003C20F4">
      <w:r>
        <w:separator/>
      </w:r>
    </w:p>
  </w:endnote>
  <w:endnote w:type="continuationSeparator" w:id="0">
    <w:p w14:paraId="050FF12D" w14:textId="77777777" w:rsidR="003C20F4" w:rsidRDefault="003C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828522"/>
      <w:docPartObj>
        <w:docPartGallery w:val="Page Numbers (Bottom of Page)"/>
        <w:docPartUnique/>
      </w:docPartObj>
    </w:sdtPr>
    <w:sdtEndPr>
      <w:rPr>
        <w:rFonts w:asciiTheme="majorHAnsi" w:hAnsiTheme="majorHAnsi"/>
        <w:noProof/>
      </w:rPr>
    </w:sdtEndPr>
    <w:sdtContent>
      <w:p w14:paraId="050FF12E" w14:textId="77777777" w:rsidR="00733ECF" w:rsidRPr="009C45BB" w:rsidRDefault="003C20F4">
        <w:pPr>
          <w:pStyle w:val="Footer"/>
          <w:jc w:val="center"/>
          <w:rPr>
            <w:rFonts w:asciiTheme="majorHAnsi" w:hAnsiTheme="majorHAnsi"/>
          </w:rPr>
        </w:pPr>
        <w:r w:rsidRPr="009C45BB">
          <w:rPr>
            <w:rFonts w:asciiTheme="majorHAnsi" w:hAnsiTheme="majorHAnsi"/>
          </w:rPr>
          <w:fldChar w:fldCharType="begin"/>
        </w:r>
        <w:r w:rsidRPr="009C45BB">
          <w:rPr>
            <w:rFonts w:asciiTheme="majorHAnsi" w:hAnsiTheme="majorHAnsi"/>
          </w:rPr>
          <w:instrText xml:space="preserve"> PAGE   \* MERGEFORMAT </w:instrText>
        </w:r>
        <w:r w:rsidRPr="009C45BB">
          <w:rPr>
            <w:rFonts w:asciiTheme="majorHAnsi" w:hAnsiTheme="majorHAnsi"/>
          </w:rPr>
          <w:fldChar w:fldCharType="separate"/>
        </w:r>
        <w:r w:rsidR="00557B55">
          <w:rPr>
            <w:rFonts w:asciiTheme="majorHAnsi" w:hAnsiTheme="majorHAnsi"/>
            <w:noProof/>
          </w:rPr>
          <w:t>2</w:t>
        </w:r>
        <w:r w:rsidRPr="009C45BB">
          <w:rPr>
            <w:rFonts w:asciiTheme="majorHAnsi" w:hAnsiTheme="majorHAnsi"/>
            <w:noProof/>
          </w:rPr>
          <w:fldChar w:fldCharType="end"/>
        </w:r>
      </w:p>
    </w:sdtContent>
  </w:sdt>
  <w:p w14:paraId="050FF12F" w14:textId="77777777" w:rsidR="00733ECF" w:rsidRDefault="00733ECF" w:rsidP="00AE18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104091"/>
      <w:docPartObj>
        <w:docPartGallery w:val="Page Numbers (Bottom of Page)"/>
        <w:docPartUnique/>
      </w:docPartObj>
    </w:sdtPr>
    <w:sdtEndPr>
      <w:rPr>
        <w:rFonts w:asciiTheme="majorHAnsi" w:hAnsiTheme="majorHAnsi"/>
        <w:noProof/>
      </w:rPr>
    </w:sdtEndPr>
    <w:sdtContent>
      <w:p w14:paraId="050FF130" w14:textId="77777777" w:rsidR="00733ECF" w:rsidRPr="009C45BB" w:rsidRDefault="003C20F4">
        <w:pPr>
          <w:pStyle w:val="Footer"/>
          <w:jc w:val="center"/>
          <w:rPr>
            <w:rFonts w:asciiTheme="majorHAnsi" w:hAnsiTheme="majorHAnsi"/>
          </w:rPr>
        </w:pPr>
        <w:r w:rsidRPr="009C45BB">
          <w:rPr>
            <w:rFonts w:asciiTheme="majorHAnsi" w:hAnsiTheme="majorHAnsi"/>
          </w:rPr>
          <w:fldChar w:fldCharType="begin"/>
        </w:r>
        <w:r w:rsidRPr="009C45BB">
          <w:rPr>
            <w:rFonts w:asciiTheme="majorHAnsi" w:hAnsiTheme="majorHAnsi"/>
          </w:rPr>
          <w:instrText xml:space="preserve"> PAGE   \* MERGEFORMAT </w:instrText>
        </w:r>
        <w:r w:rsidRPr="009C45BB">
          <w:rPr>
            <w:rFonts w:asciiTheme="majorHAnsi" w:hAnsiTheme="majorHAnsi"/>
          </w:rPr>
          <w:fldChar w:fldCharType="separate"/>
        </w:r>
        <w:r w:rsidR="00557B55">
          <w:rPr>
            <w:rFonts w:asciiTheme="majorHAnsi" w:hAnsiTheme="majorHAnsi"/>
            <w:noProof/>
          </w:rPr>
          <w:t>1</w:t>
        </w:r>
        <w:r w:rsidRPr="009C45BB">
          <w:rPr>
            <w:rFonts w:asciiTheme="majorHAnsi" w:hAnsiTheme="majorHAnsi"/>
            <w:noProof/>
          </w:rPr>
          <w:fldChar w:fldCharType="end"/>
        </w:r>
      </w:p>
    </w:sdtContent>
  </w:sdt>
  <w:p w14:paraId="050FF131" w14:textId="77777777" w:rsidR="00733ECF" w:rsidRDefault="00733ECF" w:rsidP="00AE1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FF126" w14:textId="77777777" w:rsidR="003C20F4" w:rsidRDefault="003C20F4" w:rsidP="00AE18CA">
      <w:r>
        <w:separator/>
      </w:r>
    </w:p>
    <w:p w14:paraId="050FF127" w14:textId="77777777" w:rsidR="003C20F4" w:rsidRDefault="003C20F4" w:rsidP="00AE18CA"/>
  </w:footnote>
  <w:footnote w:type="continuationSeparator" w:id="0">
    <w:p w14:paraId="050FF128" w14:textId="77777777" w:rsidR="003C20F4" w:rsidRDefault="003C20F4" w:rsidP="00AE18CA">
      <w:r>
        <w:continuationSeparator/>
      </w:r>
    </w:p>
    <w:p w14:paraId="050FF129" w14:textId="77777777" w:rsidR="003C20F4" w:rsidRDefault="003C20F4" w:rsidP="00AE18CA"/>
  </w:footnote>
  <w:footnote w:type="continuationNotice" w:id="1">
    <w:p w14:paraId="050FF12A" w14:textId="77777777" w:rsidR="003C20F4" w:rsidRDefault="003C20F4" w:rsidP="00AE18CA"/>
    <w:p w14:paraId="050FF12B" w14:textId="77777777" w:rsidR="003C20F4" w:rsidRDefault="003C20F4" w:rsidP="00AE1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1E69" w14:textId="41D5221B" w:rsidR="00ED2796" w:rsidRDefault="00ED2796">
    <w:pPr>
      <w:pStyle w:val="Header"/>
    </w:pPr>
    <w:r>
      <w:rPr>
        <w:noProof/>
        <w:lang w:val="et-EE" w:eastAsia="et-EE"/>
      </w:rPr>
      <w:drawing>
        <wp:inline distT="0" distB="0" distL="0" distR="0" wp14:anchorId="61403723" wp14:editId="628FCDC0">
          <wp:extent cx="5730875" cy="59118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9118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18F9D" w14:textId="0300FB55" w:rsidR="00ED2796" w:rsidRDefault="00ED2796">
    <w:pPr>
      <w:pStyle w:val="Header"/>
    </w:pPr>
    <w:r>
      <w:rPr>
        <w:noProof/>
        <w:lang w:val="et-EE" w:eastAsia="et-EE"/>
      </w:rPr>
      <w:drawing>
        <wp:inline distT="0" distB="0" distL="0" distR="0" wp14:anchorId="42E7C004" wp14:editId="34AD9A30">
          <wp:extent cx="5730875" cy="591185"/>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911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848BA"/>
    <w:multiLevelType w:val="hybridMultilevel"/>
    <w:tmpl w:val="CB5E6836"/>
    <w:lvl w:ilvl="0" w:tplc="29D08A3C">
      <w:start w:val="4"/>
      <w:numFmt w:val="bullet"/>
      <w:lvlText w:val="•"/>
      <w:lvlJc w:val="left"/>
      <w:pPr>
        <w:ind w:left="360" w:firstLine="0"/>
      </w:pPr>
      <w:rPr>
        <w:rFonts w:asciiTheme="majorHAnsi" w:eastAsia="Calibri" w:hAnsiTheme="majorHAnsi" w:cstheme="maj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4865228"/>
    <w:multiLevelType w:val="hybridMultilevel"/>
    <w:tmpl w:val="475C2336"/>
    <w:lvl w:ilvl="0" w:tplc="AA9CB982">
      <w:start w:val="1"/>
      <w:numFmt w:val="decimal"/>
      <w:lvlText w:val="%1."/>
      <w:lvlJc w:val="left"/>
      <w:pPr>
        <w:ind w:left="720" w:hanging="360"/>
      </w:pPr>
      <w:rPr>
        <w:rFonts w:eastAsia="Calibri" w:hint="default"/>
        <w:b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9E38F2"/>
    <w:multiLevelType w:val="hybridMultilevel"/>
    <w:tmpl w:val="0AD60B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D33EEE"/>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571EE3"/>
    <w:multiLevelType w:val="hybridMultilevel"/>
    <w:tmpl w:val="5FD01790"/>
    <w:lvl w:ilvl="0" w:tplc="389E8160">
      <w:start w:val="1"/>
      <w:numFmt w:val="decimal"/>
      <w:lvlText w:val="%1)"/>
      <w:lvlJc w:val="left"/>
      <w:pPr>
        <w:ind w:left="1287" w:hanging="360"/>
      </w:pPr>
    </w:lvl>
    <w:lvl w:ilvl="1" w:tplc="E6D077A2" w:tentative="1">
      <w:start w:val="1"/>
      <w:numFmt w:val="lowerLetter"/>
      <w:lvlText w:val="%2."/>
      <w:lvlJc w:val="left"/>
      <w:pPr>
        <w:ind w:left="2007" w:hanging="360"/>
      </w:pPr>
    </w:lvl>
    <w:lvl w:ilvl="2" w:tplc="E8300084" w:tentative="1">
      <w:start w:val="1"/>
      <w:numFmt w:val="lowerRoman"/>
      <w:lvlText w:val="%3."/>
      <w:lvlJc w:val="right"/>
      <w:pPr>
        <w:ind w:left="2727" w:hanging="180"/>
      </w:pPr>
    </w:lvl>
    <w:lvl w:ilvl="3" w:tplc="374CA88E" w:tentative="1">
      <w:start w:val="1"/>
      <w:numFmt w:val="decimal"/>
      <w:lvlText w:val="%4."/>
      <w:lvlJc w:val="left"/>
      <w:pPr>
        <w:ind w:left="3447" w:hanging="360"/>
      </w:pPr>
    </w:lvl>
    <w:lvl w:ilvl="4" w:tplc="C2F6D18E" w:tentative="1">
      <w:start w:val="1"/>
      <w:numFmt w:val="lowerLetter"/>
      <w:lvlText w:val="%5."/>
      <w:lvlJc w:val="left"/>
      <w:pPr>
        <w:ind w:left="4167" w:hanging="360"/>
      </w:pPr>
    </w:lvl>
    <w:lvl w:ilvl="5" w:tplc="ABE2A420" w:tentative="1">
      <w:start w:val="1"/>
      <w:numFmt w:val="lowerRoman"/>
      <w:lvlText w:val="%6."/>
      <w:lvlJc w:val="right"/>
      <w:pPr>
        <w:ind w:left="4887" w:hanging="180"/>
      </w:pPr>
    </w:lvl>
    <w:lvl w:ilvl="6" w:tplc="ED4E5DE6" w:tentative="1">
      <w:start w:val="1"/>
      <w:numFmt w:val="decimal"/>
      <w:lvlText w:val="%7."/>
      <w:lvlJc w:val="left"/>
      <w:pPr>
        <w:ind w:left="5607" w:hanging="360"/>
      </w:pPr>
    </w:lvl>
    <w:lvl w:ilvl="7" w:tplc="DCB6C2F2" w:tentative="1">
      <w:start w:val="1"/>
      <w:numFmt w:val="lowerLetter"/>
      <w:lvlText w:val="%8."/>
      <w:lvlJc w:val="left"/>
      <w:pPr>
        <w:ind w:left="6327" w:hanging="360"/>
      </w:pPr>
    </w:lvl>
    <w:lvl w:ilvl="8" w:tplc="38AED7CA" w:tentative="1">
      <w:start w:val="1"/>
      <w:numFmt w:val="lowerRoman"/>
      <w:lvlText w:val="%9."/>
      <w:lvlJc w:val="right"/>
      <w:pPr>
        <w:ind w:left="7047" w:hanging="180"/>
      </w:pPr>
    </w:lvl>
  </w:abstractNum>
  <w:abstractNum w:abstractNumId="5" w15:restartNumberingAfterBreak="0">
    <w:nsid w:val="36BC0041"/>
    <w:multiLevelType w:val="hybridMultilevel"/>
    <w:tmpl w:val="F7C03CF0"/>
    <w:lvl w:ilvl="0" w:tplc="89806D6C">
      <w:start w:val="1"/>
      <w:numFmt w:val="bullet"/>
      <w:lvlText w:val="•"/>
      <w:lvlJc w:val="left"/>
      <w:pPr>
        <w:ind w:left="720" w:hanging="360"/>
      </w:pPr>
      <w:rPr>
        <w:rFonts w:ascii="Arial" w:hAnsi="Aria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7CB270D"/>
    <w:multiLevelType w:val="hybridMultilevel"/>
    <w:tmpl w:val="9F52B2DA"/>
    <w:lvl w:ilvl="0" w:tplc="AF24A5FA">
      <w:start w:val="1"/>
      <w:numFmt w:val="upperLetter"/>
      <w:lvlText w:val="%1."/>
      <w:lvlJc w:val="left"/>
      <w:pPr>
        <w:ind w:left="360" w:hanging="360"/>
      </w:pPr>
      <w:rPr>
        <w:rFonts w:hint="default"/>
        <w:b/>
        <w:color w:val="000000" w:themeColor="text1"/>
        <w:sz w:val="22"/>
        <w:szCs w:val="22"/>
      </w:rPr>
    </w:lvl>
    <w:lvl w:ilvl="1" w:tplc="DE40D382" w:tentative="1">
      <w:start w:val="1"/>
      <w:numFmt w:val="lowerLetter"/>
      <w:lvlText w:val="%2."/>
      <w:lvlJc w:val="left"/>
      <w:pPr>
        <w:ind w:left="1080" w:hanging="360"/>
      </w:pPr>
    </w:lvl>
    <w:lvl w:ilvl="2" w:tplc="DCFC4B92" w:tentative="1">
      <w:start w:val="1"/>
      <w:numFmt w:val="lowerRoman"/>
      <w:lvlText w:val="%3."/>
      <w:lvlJc w:val="right"/>
      <w:pPr>
        <w:ind w:left="1800" w:hanging="180"/>
      </w:pPr>
    </w:lvl>
    <w:lvl w:ilvl="3" w:tplc="89809C7C" w:tentative="1">
      <w:start w:val="1"/>
      <w:numFmt w:val="decimal"/>
      <w:lvlText w:val="%4."/>
      <w:lvlJc w:val="left"/>
      <w:pPr>
        <w:ind w:left="2520" w:hanging="360"/>
      </w:pPr>
    </w:lvl>
    <w:lvl w:ilvl="4" w:tplc="B7388B3A" w:tentative="1">
      <w:start w:val="1"/>
      <w:numFmt w:val="lowerLetter"/>
      <w:lvlText w:val="%5."/>
      <w:lvlJc w:val="left"/>
      <w:pPr>
        <w:ind w:left="3240" w:hanging="360"/>
      </w:pPr>
    </w:lvl>
    <w:lvl w:ilvl="5" w:tplc="CBDE8DBA" w:tentative="1">
      <w:start w:val="1"/>
      <w:numFmt w:val="lowerRoman"/>
      <w:lvlText w:val="%6."/>
      <w:lvlJc w:val="right"/>
      <w:pPr>
        <w:ind w:left="3960" w:hanging="180"/>
      </w:pPr>
    </w:lvl>
    <w:lvl w:ilvl="6" w:tplc="BD585DAA" w:tentative="1">
      <w:start w:val="1"/>
      <w:numFmt w:val="decimal"/>
      <w:lvlText w:val="%7."/>
      <w:lvlJc w:val="left"/>
      <w:pPr>
        <w:ind w:left="4680" w:hanging="360"/>
      </w:pPr>
    </w:lvl>
    <w:lvl w:ilvl="7" w:tplc="D0B4327A" w:tentative="1">
      <w:start w:val="1"/>
      <w:numFmt w:val="lowerLetter"/>
      <w:lvlText w:val="%8."/>
      <w:lvlJc w:val="left"/>
      <w:pPr>
        <w:ind w:left="5400" w:hanging="360"/>
      </w:pPr>
    </w:lvl>
    <w:lvl w:ilvl="8" w:tplc="C9C8703C" w:tentative="1">
      <w:start w:val="1"/>
      <w:numFmt w:val="lowerRoman"/>
      <w:lvlText w:val="%9."/>
      <w:lvlJc w:val="right"/>
      <w:pPr>
        <w:ind w:left="6120" w:hanging="180"/>
      </w:pPr>
    </w:lvl>
  </w:abstractNum>
  <w:abstractNum w:abstractNumId="7" w15:restartNumberingAfterBreak="0">
    <w:nsid w:val="3B171167"/>
    <w:multiLevelType w:val="hybridMultilevel"/>
    <w:tmpl w:val="C92C2DC6"/>
    <w:lvl w:ilvl="0" w:tplc="3C30798A">
      <w:start w:val="1"/>
      <w:numFmt w:val="decimal"/>
      <w:lvlText w:val="%1)"/>
      <w:lvlJc w:val="left"/>
      <w:pPr>
        <w:ind w:left="720" w:hanging="360"/>
      </w:pPr>
      <w:rPr>
        <w:rFonts w:hint="default"/>
      </w:rPr>
    </w:lvl>
    <w:lvl w:ilvl="1" w:tplc="0770A8E4" w:tentative="1">
      <w:start w:val="1"/>
      <w:numFmt w:val="lowerLetter"/>
      <w:lvlText w:val="%2."/>
      <w:lvlJc w:val="left"/>
      <w:pPr>
        <w:ind w:left="1440" w:hanging="360"/>
      </w:pPr>
    </w:lvl>
    <w:lvl w:ilvl="2" w:tplc="A29AA0F2" w:tentative="1">
      <w:start w:val="1"/>
      <w:numFmt w:val="lowerRoman"/>
      <w:lvlText w:val="%3."/>
      <w:lvlJc w:val="right"/>
      <w:pPr>
        <w:ind w:left="2160" w:hanging="180"/>
      </w:pPr>
    </w:lvl>
    <w:lvl w:ilvl="3" w:tplc="CA6643E8" w:tentative="1">
      <w:start w:val="1"/>
      <w:numFmt w:val="decimal"/>
      <w:lvlText w:val="%4."/>
      <w:lvlJc w:val="left"/>
      <w:pPr>
        <w:ind w:left="2880" w:hanging="360"/>
      </w:pPr>
    </w:lvl>
    <w:lvl w:ilvl="4" w:tplc="ABB49B38" w:tentative="1">
      <w:start w:val="1"/>
      <w:numFmt w:val="lowerLetter"/>
      <w:lvlText w:val="%5."/>
      <w:lvlJc w:val="left"/>
      <w:pPr>
        <w:ind w:left="3600" w:hanging="360"/>
      </w:pPr>
    </w:lvl>
    <w:lvl w:ilvl="5" w:tplc="4BA2147C" w:tentative="1">
      <w:start w:val="1"/>
      <w:numFmt w:val="lowerRoman"/>
      <w:lvlText w:val="%6."/>
      <w:lvlJc w:val="right"/>
      <w:pPr>
        <w:ind w:left="4320" w:hanging="180"/>
      </w:pPr>
    </w:lvl>
    <w:lvl w:ilvl="6" w:tplc="43DCCDC2" w:tentative="1">
      <w:start w:val="1"/>
      <w:numFmt w:val="decimal"/>
      <w:lvlText w:val="%7."/>
      <w:lvlJc w:val="left"/>
      <w:pPr>
        <w:ind w:left="5040" w:hanging="360"/>
      </w:pPr>
    </w:lvl>
    <w:lvl w:ilvl="7" w:tplc="FFCE26EA" w:tentative="1">
      <w:start w:val="1"/>
      <w:numFmt w:val="lowerLetter"/>
      <w:lvlText w:val="%8."/>
      <w:lvlJc w:val="left"/>
      <w:pPr>
        <w:ind w:left="5760" w:hanging="360"/>
      </w:pPr>
    </w:lvl>
    <w:lvl w:ilvl="8" w:tplc="36C23A68" w:tentative="1">
      <w:start w:val="1"/>
      <w:numFmt w:val="lowerRoman"/>
      <w:lvlText w:val="%9."/>
      <w:lvlJc w:val="right"/>
      <w:pPr>
        <w:ind w:left="6480" w:hanging="180"/>
      </w:pPr>
    </w:lvl>
  </w:abstractNum>
  <w:abstractNum w:abstractNumId="8" w15:restartNumberingAfterBreak="0">
    <w:nsid w:val="3C9B4873"/>
    <w:multiLevelType w:val="multilevel"/>
    <w:tmpl w:val="0425001F"/>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6F6BF7"/>
    <w:multiLevelType w:val="multilevel"/>
    <w:tmpl w:val="5EBE1E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5A5FDF"/>
    <w:multiLevelType w:val="multilevel"/>
    <w:tmpl w:val="B508872C"/>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heme="majorHAnsi" w:hAnsiTheme="majorHAnsi" w:cstheme="maj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ED5527"/>
    <w:multiLevelType w:val="hybridMultilevel"/>
    <w:tmpl w:val="D5FA5770"/>
    <w:lvl w:ilvl="0" w:tplc="0CF099E6">
      <w:start w:val="1"/>
      <w:numFmt w:val="lowerLetter"/>
      <w:lvlText w:val="%1."/>
      <w:lvlJc w:val="left"/>
      <w:pPr>
        <w:ind w:left="720" w:hanging="360"/>
      </w:pPr>
      <w:rPr>
        <w:color w:val="000000" w:themeColor="text1"/>
      </w:rPr>
    </w:lvl>
    <w:lvl w:ilvl="1" w:tplc="906C16F2" w:tentative="1">
      <w:start w:val="1"/>
      <w:numFmt w:val="lowerLetter"/>
      <w:lvlText w:val="%2."/>
      <w:lvlJc w:val="left"/>
      <w:pPr>
        <w:ind w:left="1440" w:hanging="360"/>
      </w:pPr>
    </w:lvl>
    <w:lvl w:ilvl="2" w:tplc="B9F6A222" w:tentative="1">
      <w:start w:val="1"/>
      <w:numFmt w:val="lowerRoman"/>
      <w:lvlText w:val="%3."/>
      <w:lvlJc w:val="right"/>
      <w:pPr>
        <w:ind w:left="2160" w:hanging="180"/>
      </w:pPr>
    </w:lvl>
    <w:lvl w:ilvl="3" w:tplc="85FEC81C" w:tentative="1">
      <w:start w:val="1"/>
      <w:numFmt w:val="decimal"/>
      <w:lvlText w:val="%4."/>
      <w:lvlJc w:val="left"/>
      <w:pPr>
        <w:ind w:left="2880" w:hanging="360"/>
      </w:pPr>
    </w:lvl>
    <w:lvl w:ilvl="4" w:tplc="90BC05F6" w:tentative="1">
      <w:start w:val="1"/>
      <w:numFmt w:val="lowerLetter"/>
      <w:lvlText w:val="%5."/>
      <w:lvlJc w:val="left"/>
      <w:pPr>
        <w:ind w:left="3600" w:hanging="360"/>
      </w:pPr>
    </w:lvl>
    <w:lvl w:ilvl="5" w:tplc="06623874" w:tentative="1">
      <w:start w:val="1"/>
      <w:numFmt w:val="lowerRoman"/>
      <w:lvlText w:val="%6."/>
      <w:lvlJc w:val="right"/>
      <w:pPr>
        <w:ind w:left="4320" w:hanging="180"/>
      </w:pPr>
    </w:lvl>
    <w:lvl w:ilvl="6" w:tplc="02B08FC4" w:tentative="1">
      <w:start w:val="1"/>
      <w:numFmt w:val="decimal"/>
      <w:lvlText w:val="%7."/>
      <w:lvlJc w:val="left"/>
      <w:pPr>
        <w:ind w:left="5040" w:hanging="360"/>
      </w:pPr>
    </w:lvl>
    <w:lvl w:ilvl="7" w:tplc="EBFE25FC" w:tentative="1">
      <w:start w:val="1"/>
      <w:numFmt w:val="lowerLetter"/>
      <w:lvlText w:val="%8."/>
      <w:lvlJc w:val="left"/>
      <w:pPr>
        <w:ind w:left="5760" w:hanging="360"/>
      </w:pPr>
    </w:lvl>
    <w:lvl w:ilvl="8" w:tplc="B2B2024E" w:tentative="1">
      <w:start w:val="1"/>
      <w:numFmt w:val="lowerRoman"/>
      <w:lvlText w:val="%9."/>
      <w:lvlJc w:val="right"/>
      <w:pPr>
        <w:ind w:left="6480" w:hanging="180"/>
      </w:pPr>
    </w:lvl>
  </w:abstractNum>
  <w:abstractNum w:abstractNumId="12" w15:restartNumberingAfterBreak="0">
    <w:nsid w:val="72D7693A"/>
    <w:multiLevelType w:val="hybridMultilevel"/>
    <w:tmpl w:val="9F82AF76"/>
    <w:lvl w:ilvl="0" w:tplc="55A6429A">
      <w:start w:val="1"/>
      <w:numFmt w:val="lowerLetter"/>
      <w:lvlText w:val="%1."/>
      <w:lvlJc w:val="left"/>
      <w:pPr>
        <w:ind w:left="720" w:hanging="360"/>
      </w:pPr>
      <w:rPr>
        <w:rFonts w:eastAsiaTheme="majorEastAsia" w:cstheme="majorBidi" w:hint="default"/>
        <w:u w:val="none"/>
      </w:rPr>
    </w:lvl>
    <w:lvl w:ilvl="1" w:tplc="9842B302" w:tentative="1">
      <w:start w:val="1"/>
      <w:numFmt w:val="lowerLetter"/>
      <w:lvlText w:val="%2."/>
      <w:lvlJc w:val="left"/>
      <w:pPr>
        <w:ind w:left="1440" w:hanging="360"/>
      </w:pPr>
    </w:lvl>
    <w:lvl w:ilvl="2" w:tplc="C77EA060" w:tentative="1">
      <w:start w:val="1"/>
      <w:numFmt w:val="lowerRoman"/>
      <w:lvlText w:val="%3."/>
      <w:lvlJc w:val="right"/>
      <w:pPr>
        <w:ind w:left="2160" w:hanging="180"/>
      </w:pPr>
    </w:lvl>
    <w:lvl w:ilvl="3" w:tplc="31ACF894" w:tentative="1">
      <w:start w:val="1"/>
      <w:numFmt w:val="decimal"/>
      <w:lvlText w:val="%4."/>
      <w:lvlJc w:val="left"/>
      <w:pPr>
        <w:ind w:left="2880" w:hanging="360"/>
      </w:pPr>
    </w:lvl>
    <w:lvl w:ilvl="4" w:tplc="CACEE81A" w:tentative="1">
      <w:start w:val="1"/>
      <w:numFmt w:val="lowerLetter"/>
      <w:lvlText w:val="%5."/>
      <w:lvlJc w:val="left"/>
      <w:pPr>
        <w:ind w:left="3600" w:hanging="360"/>
      </w:pPr>
    </w:lvl>
    <w:lvl w:ilvl="5" w:tplc="E8B889C2" w:tentative="1">
      <w:start w:val="1"/>
      <w:numFmt w:val="lowerRoman"/>
      <w:lvlText w:val="%6."/>
      <w:lvlJc w:val="right"/>
      <w:pPr>
        <w:ind w:left="4320" w:hanging="180"/>
      </w:pPr>
    </w:lvl>
    <w:lvl w:ilvl="6" w:tplc="69FA3146" w:tentative="1">
      <w:start w:val="1"/>
      <w:numFmt w:val="decimal"/>
      <w:lvlText w:val="%7."/>
      <w:lvlJc w:val="left"/>
      <w:pPr>
        <w:ind w:left="5040" w:hanging="360"/>
      </w:pPr>
    </w:lvl>
    <w:lvl w:ilvl="7" w:tplc="D68A17A0" w:tentative="1">
      <w:start w:val="1"/>
      <w:numFmt w:val="lowerLetter"/>
      <w:lvlText w:val="%8."/>
      <w:lvlJc w:val="left"/>
      <w:pPr>
        <w:ind w:left="5760" w:hanging="360"/>
      </w:pPr>
    </w:lvl>
    <w:lvl w:ilvl="8" w:tplc="9D9CDABC" w:tentative="1">
      <w:start w:val="1"/>
      <w:numFmt w:val="lowerRoman"/>
      <w:lvlText w:val="%9."/>
      <w:lvlJc w:val="right"/>
      <w:pPr>
        <w:ind w:left="6480" w:hanging="180"/>
      </w:pPr>
    </w:lvl>
  </w:abstractNum>
  <w:abstractNum w:abstractNumId="13" w15:restartNumberingAfterBreak="0">
    <w:nsid w:val="79AB77EF"/>
    <w:multiLevelType w:val="hybridMultilevel"/>
    <w:tmpl w:val="CEEE08D6"/>
    <w:lvl w:ilvl="0" w:tplc="29D08A3C">
      <w:start w:val="4"/>
      <w:numFmt w:val="bullet"/>
      <w:lvlText w:val="•"/>
      <w:lvlJc w:val="left"/>
      <w:pPr>
        <w:ind w:left="360" w:firstLine="0"/>
      </w:pPr>
      <w:rPr>
        <w:rFonts w:asciiTheme="majorHAnsi" w:eastAsia="Calibri" w:hAnsiTheme="majorHAnsi" w:cstheme="maj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11"/>
  </w:num>
  <w:num w:numId="5">
    <w:abstractNumId w:val="7"/>
  </w:num>
  <w:num w:numId="6">
    <w:abstractNumId w:val="4"/>
  </w:num>
  <w:num w:numId="7">
    <w:abstractNumId w:val="3"/>
  </w:num>
  <w:num w:numId="8">
    <w:abstractNumId w:val="9"/>
  </w:num>
  <w:num w:numId="9">
    <w:abstractNumId w:val="2"/>
  </w:num>
  <w:num w:numId="10">
    <w:abstractNumId w:val="10"/>
  </w:num>
  <w:num w:numId="11">
    <w:abstractNumId w:val="1"/>
  </w:num>
  <w:num w:numId="12">
    <w:abstractNumId w:val="5"/>
  </w:num>
  <w:num w:numId="13">
    <w:abstractNumId w:val="0"/>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49"/>
    <w:rsid w:val="000014D7"/>
    <w:rsid w:val="00001692"/>
    <w:rsid w:val="00004A58"/>
    <w:rsid w:val="00006242"/>
    <w:rsid w:val="000151F0"/>
    <w:rsid w:val="00017291"/>
    <w:rsid w:val="00017CD2"/>
    <w:rsid w:val="00023DAA"/>
    <w:rsid w:val="000258CE"/>
    <w:rsid w:val="00025D75"/>
    <w:rsid w:val="00030997"/>
    <w:rsid w:val="00033596"/>
    <w:rsid w:val="00050C50"/>
    <w:rsid w:val="000545FE"/>
    <w:rsid w:val="00057612"/>
    <w:rsid w:val="00065D79"/>
    <w:rsid w:val="00074117"/>
    <w:rsid w:val="00082B55"/>
    <w:rsid w:val="00085F16"/>
    <w:rsid w:val="000A15EF"/>
    <w:rsid w:val="000C06B5"/>
    <w:rsid w:val="000D17BD"/>
    <w:rsid w:val="000E15CB"/>
    <w:rsid w:val="000E20AE"/>
    <w:rsid w:val="000F3D41"/>
    <w:rsid w:val="001017D8"/>
    <w:rsid w:val="00111BE7"/>
    <w:rsid w:val="00115C24"/>
    <w:rsid w:val="00121AF3"/>
    <w:rsid w:val="0012496D"/>
    <w:rsid w:val="00135F9A"/>
    <w:rsid w:val="00140246"/>
    <w:rsid w:val="00140323"/>
    <w:rsid w:val="001564EC"/>
    <w:rsid w:val="001601B0"/>
    <w:rsid w:val="001602F6"/>
    <w:rsid w:val="001613E6"/>
    <w:rsid w:val="0016361A"/>
    <w:rsid w:val="0016792C"/>
    <w:rsid w:val="001718C5"/>
    <w:rsid w:val="00172CE7"/>
    <w:rsid w:val="001905CD"/>
    <w:rsid w:val="001919CD"/>
    <w:rsid w:val="0019439C"/>
    <w:rsid w:val="001946C9"/>
    <w:rsid w:val="0019745A"/>
    <w:rsid w:val="001A1C1E"/>
    <w:rsid w:val="001A394F"/>
    <w:rsid w:val="001D2E6B"/>
    <w:rsid w:val="001D6A3B"/>
    <w:rsid w:val="001E5C8E"/>
    <w:rsid w:val="001F054B"/>
    <w:rsid w:val="001F7E74"/>
    <w:rsid w:val="00206227"/>
    <w:rsid w:val="00210C99"/>
    <w:rsid w:val="002342F6"/>
    <w:rsid w:val="00243C23"/>
    <w:rsid w:val="00250744"/>
    <w:rsid w:val="00251C15"/>
    <w:rsid w:val="00254DA2"/>
    <w:rsid w:val="00261D91"/>
    <w:rsid w:val="002644E7"/>
    <w:rsid w:val="0027169A"/>
    <w:rsid w:val="002727A5"/>
    <w:rsid w:val="00284EA0"/>
    <w:rsid w:val="0029718B"/>
    <w:rsid w:val="002A00D7"/>
    <w:rsid w:val="002A08B5"/>
    <w:rsid w:val="002A1761"/>
    <w:rsid w:val="002B7963"/>
    <w:rsid w:val="002C573D"/>
    <w:rsid w:val="002C7D54"/>
    <w:rsid w:val="002E047F"/>
    <w:rsid w:val="002E1648"/>
    <w:rsid w:val="002E7184"/>
    <w:rsid w:val="00303BFE"/>
    <w:rsid w:val="00305299"/>
    <w:rsid w:val="003066CC"/>
    <w:rsid w:val="00312C2D"/>
    <w:rsid w:val="0031496A"/>
    <w:rsid w:val="00317D6D"/>
    <w:rsid w:val="00324467"/>
    <w:rsid w:val="00325882"/>
    <w:rsid w:val="00330E94"/>
    <w:rsid w:val="00331C44"/>
    <w:rsid w:val="00333C33"/>
    <w:rsid w:val="00334AB7"/>
    <w:rsid w:val="00340B2B"/>
    <w:rsid w:val="00340FCA"/>
    <w:rsid w:val="00345DB3"/>
    <w:rsid w:val="0036173D"/>
    <w:rsid w:val="003647FC"/>
    <w:rsid w:val="00375F97"/>
    <w:rsid w:val="00383212"/>
    <w:rsid w:val="00383B1F"/>
    <w:rsid w:val="003A7A0A"/>
    <w:rsid w:val="003B267C"/>
    <w:rsid w:val="003C20F4"/>
    <w:rsid w:val="003C4A81"/>
    <w:rsid w:val="003D1E99"/>
    <w:rsid w:val="003D6794"/>
    <w:rsid w:val="003D71DE"/>
    <w:rsid w:val="003D7F60"/>
    <w:rsid w:val="003E0624"/>
    <w:rsid w:val="003E1548"/>
    <w:rsid w:val="003E1E4B"/>
    <w:rsid w:val="003E5927"/>
    <w:rsid w:val="003F4C95"/>
    <w:rsid w:val="00402B18"/>
    <w:rsid w:val="004071A7"/>
    <w:rsid w:val="0042158F"/>
    <w:rsid w:val="004219A4"/>
    <w:rsid w:val="00422976"/>
    <w:rsid w:val="00423482"/>
    <w:rsid w:val="004317A5"/>
    <w:rsid w:val="004434B7"/>
    <w:rsid w:val="004518A2"/>
    <w:rsid w:val="00453212"/>
    <w:rsid w:val="00453466"/>
    <w:rsid w:val="00453ECF"/>
    <w:rsid w:val="00457BEC"/>
    <w:rsid w:val="00464F59"/>
    <w:rsid w:val="00467A82"/>
    <w:rsid w:val="004725A3"/>
    <w:rsid w:val="004946DB"/>
    <w:rsid w:val="004A4096"/>
    <w:rsid w:val="004A7AD8"/>
    <w:rsid w:val="004B6EE8"/>
    <w:rsid w:val="004C7549"/>
    <w:rsid w:val="004D1F3B"/>
    <w:rsid w:val="004D5FBE"/>
    <w:rsid w:val="004E3767"/>
    <w:rsid w:val="004E455F"/>
    <w:rsid w:val="004E54B3"/>
    <w:rsid w:val="004F641C"/>
    <w:rsid w:val="004F7D5E"/>
    <w:rsid w:val="00505779"/>
    <w:rsid w:val="00510520"/>
    <w:rsid w:val="005153C9"/>
    <w:rsid w:val="00521166"/>
    <w:rsid w:val="00527F54"/>
    <w:rsid w:val="00530B5C"/>
    <w:rsid w:val="00531D30"/>
    <w:rsid w:val="00535346"/>
    <w:rsid w:val="00535EB8"/>
    <w:rsid w:val="00547D07"/>
    <w:rsid w:val="00550795"/>
    <w:rsid w:val="00557B55"/>
    <w:rsid w:val="00560972"/>
    <w:rsid w:val="00563040"/>
    <w:rsid w:val="00563D03"/>
    <w:rsid w:val="0058148A"/>
    <w:rsid w:val="005A7AB5"/>
    <w:rsid w:val="005B0399"/>
    <w:rsid w:val="005B0658"/>
    <w:rsid w:val="005C04CD"/>
    <w:rsid w:val="005D0EA8"/>
    <w:rsid w:val="005D1939"/>
    <w:rsid w:val="005D3EF5"/>
    <w:rsid w:val="005D4457"/>
    <w:rsid w:val="005D47F4"/>
    <w:rsid w:val="005D6639"/>
    <w:rsid w:val="005E3146"/>
    <w:rsid w:val="005E3245"/>
    <w:rsid w:val="005E32A1"/>
    <w:rsid w:val="005E39DC"/>
    <w:rsid w:val="005E55F7"/>
    <w:rsid w:val="005E7328"/>
    <w:rsid w:val="005E732E"/>
    <w:rsid w:val="005F5D89"/>
    <w:rsid w:val="00601458"/>
    <w:rsid w:val="0060192F"/>
    <w:rsid w:val="006056BE"/>
    <w:rsid w:val="00606BEC"/>
    <w:rsid w:val="00623C94"/>
    <w:rsid w:val="00623C9E"/>
    <w:rsid w:val="00624A3B"/>
    <w:rsid w:val="00626B00"/>
    <w:rsid w:val="006316FD"/>
    <w:rsid w:val="00643523"/>
    <w:rsid w:val="00645D61"/>
    <w:rsid w:val="00645D92"/>
    <w:rsid w:val="00652921"/>
    <w:rsid w:val="006545A0"/>
    <w:rsid w:val="00657743"/>
    <w:rsid w:val="00673AA1"/>
    <w:rsid w:val="00680F69"/>
    <w:rsid w:val="0068150B"/>
    <w:rsid w:val="006835C5"/>
    <w:rsid w:val="006950EC"/>
    <w:rsid w:val="00695C9A"/>
    <w:rsid w:val="006A1905"/>
    <w:rsid w:val="006A3B4D"/>
    <w:rsid w:val="006A7855"/>
    <w:rsid w:val="006B38E9"/>
    <w:rsid w:val="006B7504"/>
    <w:rsid w:val="006C275B"/>
    <w:rsid w:val="006C6F65"/>
    <w:rsid w:val="006D0056"/>
    <w:rsid w:val="006D09B5"/>
    <w:rsid w:val="006E4A1D"/>
    <w:rsid w:val="006E5131"/>
    <w:rsid w:val="006F1C17"/>
    <w:rsid w:val="006F4059"/>
    <w:rsid w:val="006F6BA1"/>
    <w:rsid w:val="00701A2F"/>
    <w:rsid w:val="007042A0"/>
    <w:rsid w:val="00720ED4"/>
    <w:rsid w:val="00733ECF"/>
    <w:rsid w:val="00734BDE"/>
    <w:rsid w:val="00743B88"/>
    <w:rsid w:val="00743CF0"/>
    <w:rsid w:val="00744A5E"/>
    <w:rsid w:val="00750FE4"/>
    <w:rsid w:val="007532F2"/>
    <w:rsid w:val="007550AF"/>
    <w:rsid w:val="0075B30A"/>
    <w:rsid w:val="00760998"/>
    <w:rsid w:val="00772AF4"/>
    <w:rsid w:val="007925F0"/>
    <w:rsid w:val="007A5001"/>
    <w:rsid w:val="007B0962"/>
    <w:rsid w:val="007B0DE1"/>
    <w:rsid w:val="007B3A43"/>
    <w:rsid w:val="007B4C16"/>
    <w:rsid w:val="007C06E3"/>
    <w:rsid w:val="007C2AC1"/>
    <w:rsid w:val="007C38EE"/>
    <w:rsid w:val="007C7C2B"/>
    <w:rsid w:val="007D2018"/>
    <w:rsid w:val="007D22C1"/>
    <w:rsid w:val="007D5A0A"/>
    <w:rsid w:val="007E0446"/>
    <w:rsid w:val="007E6089"/>
    <w:rsid w:val="007E6AB6"/>
    <w:rsid w:val="007E6D77"/>
    <w:rsid w:val="007F1B38"/>
    <w:rsid w:val="007F29A5"/>
    <w:rsid w:val="007F2F57"/>
    <w:rsid w:val="007F6AC7"/>
    <w:rsid w:val="008068D0"/>
    <w:rsid w:val="00815A12"/>
    <w:rsid w:val="008204D3"/>
    <w:rsid w:val="00840F28"/>
    <w:rsid w:val="0084249B"/>
    <w:rsid w:val="0086797C"/>
    <w:rsid w:val="00873B3F"/>
    <w:rsid w:val="00874A26"/>
    <w:rsid w:val="00876A8E"/>
    <w:rsid w:val="00876C91"/>
    <w:rsid w:val="0088088C"/>
    <w:rsid w:val="00880D42"/>
    <w:rsid w:val="00882391"/>
    <w:rsid w:val="00884453"/>
    <w:rsid w:val="00890EF7"/>
    <w:rsid w:val="00894E95"/>
    <w:rsid w:val="008962EE"/>
    <w:rsid w:val="008A1DAA"/>
    <w:rsid w:val="008A6C34"/>
    <w:rsid w:val="008B47A0"/>
    <w:rsid w:val="008C772A"/>
    <w:rsid w:val="008D5AD7"/>
    <w:rsid w:val="008D61A6"/>
    <w:rsid w:val="008D729B"/>
    <w:rsid w:val="008E6D2B"/>
    <w:rsid w:val="008F0C66"/>
    <w:rsid w:val="008F76C6"/>
    <w:rsid w:val="0090053A"/>
    <w:rsid w:val="00905E9F"/>
    <w:rsid w:val="009136D6"/>
    <w:rsid w:val="009246D4"/>
    <w:rsid w:val="00925D08"/>
    <w:rsid w:val="00926BE5"/>
    <w:rsid w:val="009450B9"/>
    <w:rsid w:val="009500FF"/>
    <w:rsid w:val="00956430"/>
    <w:rsid w:val="009576D1"/>
    <w:rsid w:val="009702C0"/>
    <w:rsid w:val="00971F06"/>
    <w:rsid w:val="0097769F"/>
    <w:rsid w:val="00983AB8"/>
    <w:rsid w:val="00996DC8"/>
    <w:rsid w:val="009A11A4"/>
    <w:rsid w:val="009A420A"/>
    <w:rsid w:val="009A4328"/>
    <w:rsid w:val="009B74BC"/>
    <w:rsid w:val="009C22DE"/>
    <w:rsid w:val="009C45BB"/>
    <w:rsid w:val="009C50CB"/>
    <w:rsid w:val="009D269E"/>
    <w:rsid w:val="009D2D1C"/>
    <w:rsid w:val="009E00DD"/>
    <w:rsid w:val="009E06F2"/>
    <w:rsid w:val="009E5410"/>
    <w:rsid w:val="009E66B8"/>
    <w:rsid w:val="00A176CF"/>
    <w:rsid w:val="00A25ED8"/>
    <w:rsid w:val="00A30D56"/>
    <w:rsid w:val="00A35DB2"/>
    <w:rsid w:val="00A41AE8"/>
    <w:rsid w:val="00A4583B"/>
    <w:rsid w:val="00A4768A"/>
    <w:rsid w:val="00A54C83"/>
    <w:rsid w:val="00A5567E"/>
    <w:rsid w:val="00A574F9"/>
    <w:rsid w:val="00A63C68"/>
    <w:rsid w:val="00A64C46"/>
    <w:rsid w:val="00A64F7E"/>
    <w:rsid w:val="00A70542"/>
    <w:rsid w:val="00A7428A"/>
    <w:rsid w:val="00A756B8"/>
    <w:rsid w:val="00A77D04"/>
    <w:rsid w:val="00A90995"/>
    <w:rsid w:val="00A950CC"/>
    <w:rsid w:val="00AA12F5"/>
    <w:rsid w:val="00AA1698"/>
    <w:rsid w:val="00AA6C3C"/>
    <w:rsid w:val="00AA6C92"/>
    <w:rsid w:val="00AB0908"/>
    <w:rsid w:val="00AC14F9"/>
    <w:rsid w:val="00AC2129"/>
    <w:rsid w:val="00AC4249"/>
    <w:rsid w:val="00AC5325"/>
    <w:rsid w:val="00AC7A79"/>
    <w:rsid w:val="00AD3BA0"/>
    <w:rsid w:val="00AE18CA"/>
    <w:rsid w:val="00AF03FB"/>
    <w:rsid w:val="00AF1AD9"/>
    <w:rsid w:val="00B05740"/>
    <w:rsid w:val="00B22A85"/>
    <w:rsid w:val="00B24A85"/>
    <w:rsid w:val="00B31372"/>
    <w:rsid w:val="00B33180"/>
    <w:rsid w:val="00B363E3"/>
    <w:rsid w:val="00B37F55"/>
    <w:rsid w:val="00B45016"/>
    <w:rsid w:val="00B46B60"/>
    <w:rsid w:val="00B65C7B"/>
    <w:rsid w:val="00B71D5A"/>
    <w:rsid w:val="00B76096"/>
    <w:rsid w:val="00B763AE"/>
    <w:rsid w:val="00B82E76"/>
    <w:rsid w:val="00B959E2"/>
    <w:rsid w:val="00BA195C"/>
    <w:rsid w:val="00BB0509"/>
    <w:rsid w:val="00BB5A76"/>
    <w:rsid w:val="00BB665C"/>
    <w:rsid w:val="00BB742F"/>
    <w:rsid w:val="00BC4139"/>
    <w:rsid w:val="00BD3707"/>
    <w:rsid w:val="00BD383B"/>
    <w:rsid w:val="00BD3D4D"/>
    <w:rsid w:val="00BE10DF"/>
    <w:rsid w:val="00BE49EA"/>
    <w:rsid w:val="00BF0292"/>
    <w:rsid w:val="00BF0AA5"/>
    <w:rsid w:val="00BF0ADF"/>
    <w:rsid w:val="00BF10A8"/>
    <w:rsid w:val="00C1102F"/>
    <w:rsid w:val="00C15F33"/>
    <w:rsid w:val="00C21DB4"/>
    <w:rsid w:val="00C274E2"/>
    <w:rsid w:val="00C3681B"/>
    <w:rsid w:val="00C40E23"/>
    <w:rsid w:val="00C44876"/>
    <w:rsid w:val="00C46499"/>
    <w:rsid w:val="00C52BE8"/>
    <w:rsid w:val="00C617DB"/>
    <w:rsid w:val="00C65142"/>
    <w:rsid w:val="00C65292"/>
    <w:rsid w:val="00C673A3"/>
    <w:rsid w:val="00CA3EE0"/>
    <w:rsid w:val="00CB0037"/>
    <w:rsid w:val="00CB064D"/>
    <w:rsid w:val="00CB24FC"/>
    <w:rsid w:val="00CC5138"/>
    <w:rsid w:val="00CD0528"/>
    <w:rsid w:val="00CD63E1"/>
    <w:rsid w:val="00CE14B2"/>
    <w:rsid w:val="00CF75B9"/>
    <w:rsid w:val="00D0075C"/>
    <w:rsid w:val="00D07CBD"/>
    <w:rsid w:val="00D10FAC"/>
    <w:rsid w:val="00D11502"/>
    <w:rsid w:val="00D21391"/>
    <w:rsid w:val="00D226C2"/>
    <w:rsid w:val="00D30EB1"/>
    <w:rsid w:val="00D31B24"/>
    <w:rsid w:val="00D40769"/>
    <w:rsid w:val="00D443FE"/>
    <w:rsid w:val="00D56F89"/>
    <w:rsid w:val="00D663AD"/>
    <w:rsid w:val="00D668B1"/>
    <w:rsid w:val="00D70F15"/>
    <w:rsid w:val="00D937B2"/>
    <w:rsid w:val="00D93A77"/>
    <w:rsid w:val="00D93C36"/>
    <w:rsid w:val="00DA22AD"/>
    <w:rsid w:val="00DA6592"/>
    <w:rsid w:val="00DB335C"/>
    <w:rsid w:val="00DD493F"/>
    <w:rsid w:val="00DD67D2"/>
    <w:rsid w:val="00DE02A1"/>
    <w:rsid w:val="00DE14A8"/>
    <w:rsid w:val="00DE1DEF"/>
    <w:rsid w:val="00DE5D6B"/>
    <w:rsid w:val="00E05586"/>
    <w:rsid w:val="00E234CF"/>
    <w:rsid w:val="00E33011"/>
    <w:rsid w:val="00E34775"/>
    <w:rsid w:val="00E354DD"/>
    <w:rsid w:val="00E3596C"/>
    <w:rsid w:val="00E360CE"/>
    <w:rsid w:val="00E40A91"/>
    <w:rsid w:val="00E41D80"/>
    <w:rsid w:val="00E50CB7"/>
    <w:rsid w:val="00E52954"/>
    <w:rsid w:val="00E5661A"/>
    <w:rsid w:val="00E6519D"/>
    <w:rsid w:val="00E75BEE"/>
    <w:rsid w:val="00E81232"/>
    <w:rsid w:val="00E83D8E"/>
    <w:rsid w:val="00E84343"/>
    <w:rsid w:val="00E85B7F"/>
    <w:rsid w:val="00EA3FFC"/>
    <w:rsid w:val="00EA4BC2"/>
    <w:rsid w:val="00EB0ED7"/>
    <w:rsid w:val="00EB18F0"/>
    <w:rsid w:val="00EC1845"/>
    <w:rsid w:val="00EC5FCA"/>
    <w:rsid w:val="00ED2796"/>
    <w:rsid w:val="00ED6937"/>
    <w:rsid w:val="00EE3F45"/>
    <w:rsid w:val="00EE4A94"/>
    <w:rsid w:val="00EE630E"/>
    <w:rsid w:val="00F12522"/>
    <w:rsid w:val="00F12B90"/>
    <w:rsid w:val="00F12DDC"/>
    <w:rsid w:val="00F1437E"/>
    <w:rsid w:val="00F21DD2"/>
    <w:rsid w:val="00F23699"/>
    <w:rsid w:val="00F23B0F"/>
    <w:rsid w:val="00F24B9D"/>
    <w:rsid w:val="00F25FEE"/>
    <w:rsid w:val="00F261D7"/>
    <w:rsid w:val="00F27BEA"/>
    <w:rsid w:val="00F32148"/>
    <w:rsid w:val="00F5226C"/>
    <w:rsid w:val="00F55AC9"/>
    <w:rsid w:val="00F64D54"/>
    <w:rsid w:val="00F658F3"/>
    <w:rsid w:val="00F8242A"/>
    <w:rsid w:val="00F8375F"/>
    <w:rsid w:val="00FA658D"/>
    <w:rsid w:val="00FA7A16"/>
    <w:rsid w:val="00FB4CAB"/>
    <w:rsid w:val="00FB6790"/>
    <w:rsid w:val="00FB7FB2"/>
    <w:rsid w:val="00FD1B38"/>
    <w:rsid w:val="00FE1996"/>
    <w:rsid w:val="00FE2C7D"/>
    <w:rsid w:val="00FE4130"/>
    <w:rsid w:val="00FE7B20"/>
    <w:rsid w:val="00FF00AD"/>
    <w:rsid w:val="00FF1E48"/>
    <w:rsid w:val="02B894BA"/>
    <w:rsid w:val="0387F6A9"/>
    <w:rsid w:val="057D44EC"/>
    <w:rsid w:val="06370B4E"/>
    <w:rsid w:val="08F41B21"/>
    <w:rsid w:val="09C37D10"/>
    <w:rsid w:val="0B2901A3"/>
    <w:rsid w:val="0B8348D3"/>
    <w:rsid w:val="0CCCD8E5"/>
    <w:rsid w:val="0E034D62"/>
    <w:rsid w:val="0F613196"/>
    <w:rsid w:val="10090C33"/>
    <w:rsid w:val="146F66CF"/>
    <w:rsid w:val="1712AD1E"/>
    <w:rsid w:val="1925374D"/>
    <w:rsid w:val="1B527D70"/>
    <w:rsid w:val="1CA3ADE1"/>
    <w:rsid w:val="20A65B54"/>
    <w:rsid w:val="21588157"/>
    <w:rsid w:val="23ECDA08"/>
    <w:rsid w:val="24E8AAEE"/>
    <w:rsid w:val="250887F9"/>
    <w:rsid w:val="258A567B"/>
    <w:rsid w:val="27DB3359"/>
    <w:rsid w:val="2CCBFAF5"/>
    <w:rsid w:val="36C92745"/>
    <w:rsid w:val="36E90E38"/>
    <w:rsid w:val="385C8DF9"/>
    <w:rsid w:val="39556B72"/>
    <w:rsid w:val="3A08059A"/>
    <w:rsid w:val="3C682336"/>
    <w:rsid w:val="3D04ADAC"/>
    <w:rsid w:val="3D33C796"/>
    <w:rsid w:val="3DFCB7DF"/>
    <w:rsid w:val="40249889"/>
    <w:rsid w:val="444DD9D3"/>
    <w:rsid w:val="4690BB83"/>
    <w:rsid w:val="46C76BF8"/>
    <w:rsid w:val="46DD0785"/>
    <w:rsid w:val="474A81E5"/>
    <w:rsid w:val="5235BB5B"/>
    <w:rsid w:val="557D6804"/>
    <w:rsid w:val="5614D213"/>
    <w:rsid w:val="572E0AA4"/>
    <w:rsid w:val="5C57F8D9"/>
    <w:rsid w:val="609028CC"/>
    <w:rsid w:val="6486227C"/>
    <w:rsid w:val="65BA1701"/>
    <w:rsid w:val="65F24C66"/>
    <w:rsid w:val="66145E31"/>
    <w:rsid w:val="66C7BCC1"/>
    <w:rsid w:val="671F9B94"/>
    <w:rsid w:val="67EB0CEC"/>
    <w:rsid w:val="6E6CBAE2"/>
    <w:rsid w:val="71656FCD"/>
    <w:rsid w:val="73A8517D"/>
    <w:rsid w:val="769D5930"/>
    <w:rsid w:val="7872C080"/>
    <w:rsid w:val="78A7CEDB"/>
    <w:rsid w:val="7BAB4406"/>
    <w:rsid w:val="7CCD4CC6"/>
    <w:rsid w:val="7EDFD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0FF072"/>
  <w15:chartTrackingRefBased/>
  <w15:docId w15:val="{4D407889-C05B-4640-BFF4-772C1B8E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CA"/>
    <w:pPr>
      <w:spacing w:after="0" w:line="240" w:lineRule="auto"/>
      <w:jc w:val="both"/>
    </w:pPr>
    <w:rPr>
      <w:rFonts w:asciiTheme="majorHAnsi" w:eastAsia="Calibri" w:hAnsiTheme="majorHAnsi" w:cstheme="majorHAnsi"/>
    </w:rPr>
  </w:style>
  <w:style w:type="paragraph" w:styleId="Heading1">
    <w:name w:val="heading 1"/>
    <w:basedOn w:val="Normal"/>
    <w:next w:val="Normal"/>
    <w:link w:val="Heading1Char"/>
    <w:uiPriority w:val="9"/>
    <w:qFormat/>
    <w:rsid w:val="006C6F65"/>
    <w:pPr>
      <w:keepNext/>
      <w:keepLines/>
      <w:spacing w:before="240"/>
      <w:jc w:val="left"/>
      <w:outlineLvl w:val="0"/>
    </w:pPr>
    <w:rPr>
      <w:rFonts w:eastAsiaTheme="majorEastAsia" w:cstheme="majorBidi"/>
      <w:b/>
      <w:color w:val="2E74B5" w:themeColor="accent1" w:themeShade="BF"/>
      <w:sz w:val="24"/>
      <w:szCs w:val="24"/>
    </w:rPr>
  </w:style>
  <w:style w:type="paragraph" w:styleId="Heading2">
    <w:name w:val="heading 2"/>
    <w:basedOn w:val="Normal"/>
    <w:next w:val="Normal"/>
    <w:link w:val="Heading2Char"/>
    <w:unhideWhenUsed/>
    <w:qFormat/>
    <w:rsid w:val="004C754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7549"/>
    <w:rPr>
      <w:rFonts w:ascii="Cambria" w:eastAsia="Times New Roman" w:hAnsi="Cambria" w:cs="Times New Roman"/>
      <w:b/>
      <w:bCs/>
      <w:i/>
      <w:iCs/>
      <w:sz w:val="28"/>
      <w:szCs w:val="28"/>
    </w:rPr>
  </w:style>
  <w:style w:type="paragraph" w:styleId="Header">
    <w:name w:val="header"/>
    <w:basedOn w:val="Normal"/>
    <w:link w:val="HeaderChar"/>
    <w:unhideWhenUsed/>
    <w:rsid w:val="004C7549"/>
    <w:pPr>
      <w:tabs>
        <w:tab w:val="center" w:pos="4536"/>
        <w:tab w:val="right" w:pos="9072"/>
      </w:tabs>
    </w:pPr>
    <w:rPr>
      <w:rFonts w:ascii="Verdana" w:eastAsia="MS Mincho" w:hAnsi="Verdana"/>
      <w:color w:val="000000"/>
      <w:sz w:val="20"/>
      <w:szCs w:val="24"/>
      <w:lang w:eastAsia="fr-FR"/>
    </w:rPr>
  </w:style>
  <w:style w:type="character" w:customStyle="1" w:styleId="HeaderChar">
    <w:name w:val="Header Char"/>
    <w:basedOn w:val="DefaultParagraphFont"/>
    <w:link w:val="Header"/>
    <w:rsid w:val="004C7549"/>
    <w:rPr>
      <w:rFonts w:ascii="Verdana" w:eastAsia="MS Mincho" w:hAnsi="Verdana" w:cs="Times New Roman"/>
      <w:color w:val="000000"/>
      <w:sz w:val="20"/>
      <w:szCs w:val="24"/>
      <w:lang w:eastAsia="fr-FR"/>
    </w:rPr>
  </w:style>
  <w:style w:type="paragraph" w:styleId="Footer">
    <w:name w:val="footer"/>
    <w:basedOn w:val="Normal"/>
    <w:link w:val="FooterChar"/>
    <w:uiPriority w:val="99"/>
    <w:unhideWhenUsed/>
    <w:rsid w:val="004C7549"/>
    <w:pPr>
      <w:tabs>
        <w:tab w:val="center" w:pos="4536"/>
        <w:tab w:val="right" w:pos="9072"/>
      </w:tabs>
    </w:pPr>
    <w:rPr>
      <w:rFonts w:ascii="Verdana" w:eastAsia="MS Mincho" w:hAnsi="Verdana"/>
      <w:color w:val="000000"/>
      <w:sz w:val="20"/>
      <w:szCs w:val="24"/>
      <w:lang w:eastAsia="fr-FR"/>
    </w:rPr>
  </w:style>
  <w:style w:type="character" w:customStyle="1" w:styleId="FooterChar">
    <w:name w:val="Footer Char"/>
    <w:basedOn w:val="DefaultParagraphFont"/>
    <w:link w:val="Footer"/>
    <w:uiPriority w:val="99"/>
    <w:rsid w:val="004C7549"/>
    <w:rPr>
      <w:rFonts w:ascii="Verdana" w:eastAsia="MS Mincho" w:hAnsi="Verdana" w:cs="Times New Roman"/>
      <w:color w:val="000000"/>
      <w:sz w:val="20"/>
      <w:szCs w:val="24"/>
      <w:lang w:eastAsia="fr-FR"/>
    </w:rPr>
  </w:style>
  <w:style w:type="character" w:styleId="PageNumber">
    <w:name w:val="page number"/>
    <w:basedOn w:val="DefaultParagraphFont"/>
    <w:rsid w:val="004C7549"/>
  </w:style>
  <w:style w:type="paragraph" w:styleId="ListParagraph">
    <w:name w:val="List Paragraph"/>
    <w:basedOn w:val="Normal"/>
    <w:uiPriority w:val="34"/>
    <w:qFormat/>
    <w:rsid w:val="004C7549"/>
    <w:pPr>
      <w:ind w:left="720"/>
    </w:pPr>
    <w:rPr>
      <w:rFonts w:ascii="Verdana" w:eastAsia="MS Mincho" w:hAnsi="Verdana"/>
      <w:color w:val="000000"/>
      <w:sz w:val="20"/>
      <w:szCs w:val="24"/>
      <w:lang w:eastAsia="fr-FR"/>
    </w:rPr>
  </w:style>
  <w:style w:type="character" w:styleId="Emphasis">
    <w:name w:val="Emphasis"/>
    <w:uiPriority w:val="20"/>
    <w:qFormat/>
    <w:rsid w:val="004C7549"/>
    <w:rPr>
      <w:i/>
      <w:iCs/>
    </w:rPr>
  </w:style>
  <w:style w:type="paragraph" w:styleId="BalloonText">
    <w:name w:val="Balloon Text"/>
    <w:basedOn w:val="Normal"/>
    <w:link w:val="BalloonTextChar"/>
    <w:uiPriority w:val="99"/>
    <w:semiHidden/>
    <w:unhideWhenUsed/>
    <w:rsid w:val="004C7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549"/>
    <w:rPr>
      <w:rFonts w:ascii="Segoe UI" w:eastAsia="Calibri" w:hAnsi="Segoe UI" w:cs="Segoe UI"/>
      <w:sz w:val="18"/>
      <w:szCs w:val="18"/>
    </w:rPr>
  </w:style>
  <w:style w:type="character" w:customStyle="1" w:styleId="Heading1Char">
    <w:name w:val="Heading 1 Char"/>
    <w:basedOn w:val="DefaultParagraphFont"/>
    <w:link w:val="Heading1"/>
    <w:uiPriority w:val="9"/>
    <w:rsid w:val="006C6F65"/>
    <w:rPr>
      <w:rFonts w:asciiTheme="majorHAnsi" w:eastAsiaTheme="majorEastAsia" w:hAnsiTheme="majorHAnsi" w:cstheme="majorBidi"/>
      <w:b/>
      <w:color w:val="2E74B5" w:themeColor="accent1" w:themeShade="BF"/>
      <w:sz w:val="24"/>
      <w:szCs w:val="24"/>
    </w:rPr>
  </w:style>
  <w:style w:type="paragraph" w:customStyle="1" w:styleId="Default">
    <w:name w:val="Default"/>
    <w:rsid w:val="008D729B"/>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D72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C274E2"/>
    <w:rPr>
      <w:sz w:val="16"/>
      <w:szCs w:val="16"/>
    </w:rPr>
  </w:style>
  <w:style w:type="paragraph" w:styleId="CommentText">
    <w:name w:val="annotation text"/>
    <w:basedOn w:val="Normal"/>
    <w:link w:val="CommentTextChar"/>
    <w:uiPriority w:val="99"/>
    <w:unhideWhenUsed/>
    <w:rsid w:val="00C274E2"/>
    <w:rPr>
      <w:sz w:val="20"/>
      <w:szCs w:val="20"/>
    </w:rPr>
  </w:style>
  <w:style w:type="character" w:customStyle="1" w:styleId="CommentTextChar">
    <w:name w:val="Comment Text Char"/>
    <w:basedOn w:val="DefaultParagraphFont"/>
    <w:link w:val="CommentText"/>
    <w:uiPriority w:val="99"/>
    <w:rsid w:val="00C274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74E2"/>
    <w:rPr>
      <w:b/>
      <w:bCs/>
    </w:rPr>
  </w:style>
  <w:style w:type="character" w:customStyle="1" w:styleId="CommentSubjectChar">
    <w:name w:val="Comment Subject Char"/>
    <w:basedOn w:val="CommentTextChar"/>
    <w:link w:val="CommentSubject"/>
    <w:uiPriority w:val="99"/>
    <w:semiHidden/>
    <w:rsid w:val="00C274E2"/>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FB6790"/>
    <w:rPr>
      <w:sz w:val="20"/>
      <w:szCs w:val="20"/>
    </w:rPr>
  </w:style>
  <w:style w:type="character" w:customStyle="1" w:styleId="FootnoteTextChar">
    <w:name w:val="Footnote Text Char"/>
    <w:basedOn w:val="DefaultParagraphFont"/>
    <w:link w:val="FootnoteText"/>
    <w:uiPriority w:val="99"/>
    <w:rsid w:val="00FB679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B6790"/>
    <w:rPr>
      <w:vertAlign w:val="superscript"/>
    </w:rPr>
  </w:style>
  <w:style w:type="table" w:styleId="TableGrid">
    <w:name w:val="Table Grid"/>
    <w:basedOn w:val="TableNormal"/>
    <w:rsid w:val="00B2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7C2B"/>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01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keletontec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eagrants.fin.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0" ma:contentTypeDescription="Create a new document." ma:contentTypeScope="" ma:versionID="e8a82d154ca32115395c8e521dc7592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6DB0-564C-464A-8C44-A49419AE0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49C2AA-90C8-4BEE-B1FC-BF517444BBF3}">
  <ds:schemaRefs>
    <ds:schemaRef ds:uri="http://schemas.microsoft.com/sharepoint/v3/contenttype/forms"/>
  </ds:schemaRefs>
</ds:datastoreItem>
</file>

<file path=customXml/itemProps3.xml><?xml version="1.0" encoding="utf-8"?>
<ds:datastoreItem xmlns:ds="http://schemas.openxmlformats.org/officeDocument/2006/customXml" ds:itemID="{14C4001E-A89A-4D96-BDC1-655AF36BCA62}">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C613FDB-2A63-48C5-96F2-3D2A64DB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4383</Words>
  <Characters>25428</Characters>
  <Application>Microsoft Office Word</Application>
  <DocSecurity>0</DocSecurity>
  <Lines>211</Lines>
  <Paragraphs>59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Strategic Report template FM14-21</vt:lpstr>
      <vt:lpstr>Strategic Report template FM14-21</vt:lpstr>
    </vt:vector>
  </TitlesOfParts>
  <Company>EFTA</Company>
  <LinksUpToDate>false</LinksUpToDate>
  <CharactersWithSpaces>29752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Report template FM14-21</dc:title>
  <dc:creator>STIMPSON Alex</dc:creator>
  <cp:lastModifiedBy>Laura Pikkoja</cp:lastModifiedBy>
  <cp:revision>2</cp:revision>
  <cp:lastPrinted>2019-09-18T13:40:00Z</cp:lastPrinted>
  <dcterms:created xsi:type="dcterms:W3CDTF">2019-11-04T10:47:00Z</dcterms:created>
  <dcterms:modified xsi:type="dcterms:W3CDTF">2019-11-04T10:47:00Z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ies>
</file>