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BB8" w:rsidRPr="00BC1E70" w:rsidRDefault="00C94BB8" w:rsidP="00FB2920">
      <w:pPr>
        <w:spacing w:after="60" w:line="240" w:lineRule="auto"/>
        <w:jc w:val="both"/>
        <w:rPr>
          <w:b/>
        </w:rPr>
      </w:pPr>
      <w:r w:rsidRPr="00BC1E70">
        <w:rPr>
          <w:b/>
        </w:rPr>
        <w:t xml:space="preserve">Seiretabeli </w:t>
      </w:r>
      <w:r w:rsidR="00CC1C90" w:rsidRPr="00BC1E70">
        <w:rPr>
          <w:b/>
        </w:rPr>
        <w:t xml:space="preserve">täiendused </w:t>
      </w:r>
      <w:r w:rsidRPr="00BC1E70">
        <w:rPr>
          <w:b/>
        </w:rPr>
        <w:t xml:space="preserve">pärast </w:t>
      </w:r>
      <w:r w:rsidR="009E3247" w:rsidRPr="00BC1E70">
        <w:rPr>
          <w:b/>
        </w:rPr>
        <w:t xml:space="preserve">materjalide esitamist seirekomisjonile </w:t>
      </w:r>
      <w:r w:rsidR="00105C74" w:rsidRPr="00BC1E70">
        <w:rPr>
          <w:b/>
        </w:rPr>
        <w:t>22.05.2019</w:t>
      </w:r>
      <w:r w:rsidRPr="00BC1E70">
        <w:rPr>
          <w:b/>
        </w:rPr>
        <w:t>:</w:t>
      </w:r>
    </w:p>
    <w:p w:rsidR="009E3247" w:rsidRPr="00BC1E70" w:rsidRDefault="00FB2920" w:rsidP="00FB2920">
      <w:pPr>
        <w:pStyle w:val="Loendilik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K</w:t>
      </w:r>
      <w:r w:rsidR="009E3247" w:rsidRPr="00BC1E70">
        <w:rPr>
          <w:rFonts w:cstheme="minorHAnsi"/>
        </w:rPr>
        <w:t>orrigeeritud meetme tegevuse 6.1.1 näitaja „</w:t>
      </w:r>
      <w:r w:rsidRPr="00BC1E70">
        <w:rPr>
          <w:rFonts w:cstheme="minorHAnsi"/>
        </w:rPr>
        <w:t>a</w:t>
      </w:r>
      <w:r w:rsidR="009E3247" w:rsidRPr="00BC1E70">
        <w:rPr>
          <w:rFonts w:cstheme="minorHAnsi"/>
        </w:rPr>
        <w:t xml:space="preserve">rvestuslik CO2 vähenemine aastas“ saavutustaset </w:t>
      </w:r>
      <w:r w:rsidR="009E3247" w:rsidRPr="00BC1E70">
        <w:rPr>
          <w:rFonts w:cstheme="minorHAnsi"/>
        </w:rPr>
        <w:tab/>
        <w:t>vastavalt lõppenud projektide tegeliku energiatarbimise mõõtmise tulemustele</w:t>
      </w:r>
      <w:r w:rsidRPr="00BC1E70">
        <w:rPr>
          <w:rFonts w:cstheme="minorHAnsi"/>
        </w:rPr>
        <w:t>.</w:t>
      </w:r>
    </w:p>
    <w:p w:rsidR="009E3247" w:rsidRPr="00BC1E70" w:rsidRDefault="00FB2920" w:rsidP="00FB2920">
      <w:pPr>
        <w:pStyle w:val="Loendilik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K</w:t>
      </w:r>
      <w:r w:rsidR="009E3247" w:rsidRPr="00BC1E70">
        <w:rPr>
          <w:rFonts w:cstheme="minorHAnsi"/>
        </w:rPr>
        <w:t xml:space="preserve">orrigeeritud </w:t>
      </w:r>
      <w:r w:rsidRPr="00BC1E70">
        <w:rPr>
          <w:rFonts w:cstheme="minorHAnsi"/>
        </w:rPr>
        <w:t xml:space="preserve">väljundnäitajate </w:t>
      </w:r>
      <w:r w:rsidR="009E3247" w:rsidRPr="00BC1E70">
        <w:rPr>
          <w:rFonts w:cstheme="minorHAnsi"/>
        </w:rPr>
        <w:t xml:space="preserve">CO28 </w:t>
      </w:r>
      <w:r w:rsidRPr="00BC1E70">
        <w:rPr>
          <w:rFonts w:cstheme="minorHAnsi"/>
        </w:rPr>
        <w:t>„t</w:t>
      </w:r>
      <w:r w:rsidRPr="00BC1E70">
        <w:rPr>
          <w:rFonts w:cstheme="minorHAnsi"/>
        </w:rPr>
        <w:t>oetatud ettevõtted, kes on tutvustanud turu jaoks uut toodet või teenust (unikaalsed)</w:t>
      </w:r>
      <w:r w:rsidRPr="00BC1E70">
        <w:rPr>
          <w:rFonts w:cstheme="minorHAnsi"/>
        </w:rPr>
        <w:t xml:space="preserve">“ </w:t>
      </w:r>
      <w:r w:rsidR="009E3247" w:rsidRPr="00BC1E70">
        <w:rPr>
          <w:rFonts w:cstheme="minorHAnsi"/>
        </w:rPr>
        <w:t xml:space="preserve">ja CO29 </w:t>
      </w:r>
      <w:r w:rsidRPr="00BC1E70">
        <w:rPr>
          <w:rFonts w:cstheme="minorHAnsi"/>
        </w:rPr>
        <w:t>„t</w:t>
      </w:r>
      <w:r w:rsidRPr="00BC1E70">
        <w:rPr>
          <w:rFonts w:cstheme="minorHAnsi"/>
        </w:rPr>
        <w:t>oetatud ettevõtted, kes on tutvustanud ettevõtte jaoks uut toodet või teenust (unikaalsed)</w:t>
      </w:r>
      <w:r w:rsidRPr="00BC1E70">
        <w:rPr>
          <w:rFonts w:cstheme="minorHAnsi"/>
        </w:rPr>
        <w:t xml:space="preserve">“ </w:t>
      </w:r>
      <w:r w:rsidR="009E3247" w:rsidRPr="00BC1E70">
        <w:rPr>
          <w:rFonts w:cstheme="minorHAnsi"/>
        </w:rPr>
        <w:t>saavutustaset vastavalt ja lepingutega kaetuse taset.</w:t>
      </w:r>
      <w:r w:rsidR="009E3247" w:rsidRPr="00BC1E70">
        <w:rPr>
          <w:rFonts w:cstheme="minorHAnsi"/>
          <w:noProof/>
        </w:rPr>
        <w:t xml:space="preserve"> Vastavalt EK juhendile raporteeritakse unikaalseid ettevõtteid EASi andmetele tuginedes.</w:t>
      </w:r>
    </w:p>
    <w:p w:rsidR="005F1660" w:rsidRPr="00BC1E70" w:rsidRDefault="00FB2920" w:rsidP="00FB2920">
      <w:pPr>
        <w:pStyle w:val="Loendilik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 xml:space="preserve">Korrigeeritud </w:t>
      </w:r>
      <w:r w:rsidR="005F1660" w:rsidRPr="00BC1E70">
        <w:rPr>
          <w:rFonts w:cstheme="minorHAnsi"/>
        </w:rPr>
        <w:t>2.4.1 väljundnäitaja CO36 „Tervishoid: selliste inimeste arv, kellel on juurdepääs parematele tervishoiuteenustele“ lepingutega kaetuse andme</w:t>
      </w:r>
      <w:r w:rsidRPr="00BC1E70">
        <w:rPr>
          <w:rFonts w:cstheme="minorHAnsi"/>
        </w:rPr>
        <w:t>i</w:t>
      </w:r>
      <w:r w:rsidR="005F1660" w:rsidRPr="00BC1E70">
        <w:rPr>
          <w:rFonts w:cstheme="minorHAnsi"/>
        </w:rPr>
        <w:t>d ja täiendatud märkust.</w:t>
      </w:r>
    </w:p>
    <w:p w:rsidR="00C25B58" w:rsidRPr="00BC1E70" w:rsidRDefault="00C25B58" w:rsidP="00FB2920">
      <w:pPr>
        <w:pStyle w:val="Loendilik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  <w:b/>
        </w:rPr>
        <w:t>Statistikaameti</w:t>
      </w:r>
      <w:r w:rsidRPr="00BC1E70">
        <w:rPr>
          <w:rFonts w:cstheme="minorHAnsi"/>
        </w:rPr>
        <w:t xml:space="preserve"> korrigeeritud andmete alusel muudetud järgmiste näitajate </w:t>
      </w:r>
      <w:r w:rsidRPr="00BC1E70">
        <w:rPr>
          <w:rFonts w:cstheme="minorHAnsi"/>
          <w:b/>
        </w:rPr>
        <w:t>saavutustasemeid</w:t>
      </w:r>
      <w:r w:rsidRPr="00BC1E70">
        <w:rPr>
          <w:rFonts w:cstheme="minorHAnsi"/>
        </w:rPr>
        <w:t>:</w:t>
      </w:r>
    </w:p>
    <w:p w:rsidR="00C25B58" w:rsidRPr="00BC1E70" w:rsidRDefault="00C25B58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2.1.1 väljundnäitaja „h</w:t>
      </w:r>
      <w:r w:rsidRPr="00BC1E70">
        <w:rPr>
          <w:rFonts w:cstheme="minorHAnsi"/>
        </w:rPr>
        <w:t>ooldajate arv, kes on saanud vähemalt ühte puuetega laste tugiteenust ühe puudega lapse kohta</w:t>
      </w:r>
      <w:r w:rsidRPr="00BC1E70">
        <w:rPr>
          <w:rFonts w:cstheme="minorHAnsi"/>
        </w:rPr>
        <w:t>“ saavutustase 2405;</w:t>
      </w:r>
    </w:p>
    <w:p w:rsidR="00C25B58" w:rsidRPr="00BC1E70" w:rsidRDefault="00C25B58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2.2.1 väljundnäitaja „h</w:t>
      </w:r>
      <w:r w:rsidRPr="00BC1E70">
        <w:rPr>
          <w:rFonts w:cstheme="minorHAnsi"/>
        </w:rPr>
        <w:t>oolekande teenuste saajate arv</w:t>
      </w:r>
      <w:r w:rsidRPr="00BC1E70">
        <w:rPr>
          <w:rFonts w:cstheme="minorHAnsi"/>
        </w:rPr>
        <w:t>“ saavutustase 4596;</w:t>
      </w:r>
    </w:p>
    <w:p w:rsidR="002E163B" w:rsidRPr="00BC1E70" w:rsidRDefault="002E163B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5.4 väljundnäitaja „m</w:t>
      </w:r>
      <w:r w:rsidRPr="00BC1E70">
        <w:rPr>
          <w:rFonts w:cstheme="minorHAnsi"/>
        </w:rPr>
        <w:t>itterahalist abi saavate ettevõtete arv</w:t>
      </w:r>
      <w:r w:rsidRPr="00BC1E70">
        <w:rPr>
          <w:rFonts w:cstheme="minorHAnsi"/>
        </w:rPr>
        <w:t>“ saavtustase 734</w:t>
      </w:r>
      <w:r w:rsidR="00FB2920" w:rsidRPr="00BC1E70">
        <w:rPr>
          <w:rFonts w:cstheme="minorHAnsi"/>
        </w:rPr>
        <w:t>.</w:t>
      </w:r>
    </w:p>
    <w:p w:rsidR="00D25737" w:rsidRPr="00BC1E70" w:rsidRDefault="00C94BB8" w:rsidP="00FB2920">
      <w:pPr>
        <w:pStyle w:val="Loendilik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b/>
        </w:rPr>
        <w:t>EK küsimustest lähtuvalt</w:t>
      </w:r>
      <w:r w:rsidRPr="00BC1E70">
        <w:t xml:space="preserve"> t</w:t>
      </w:r>
      <w:r w:rsidR="00D25737" w:rsidRPr="00BC1E70">
        <w:rPr>
          <w:rFonts w:cstheme="minorHAnsi"/>
        </w:rPr>
        <w:t xml:space="preserve">äiendatud järgmiste näitajate </w:t>
      </w:r>
      <w:r w:rsidR="00BC1E70" w:rsidRPr="00BC1E70">
        <w:rPr>
          <w:rFonts w:cstheme="minorHAnsi"/>
          <w:b/>
        </w:rPr>
        <w:t>selgitusi</w:t>
      </w:r>
      <w:r w:rsidR="009E3247" w:rsidRPr="00BC1E70">
        <w:rPr>
          <w:rFonts w:cstheme="minorHAnsi"/>
        </w:rPr>
        <w:t xml:space="preserve"> (s.h näitajate osas, kus 2023 sihtväärtus on tänaseks juba ületatud)</w:t>
      </w:r>
      <w:r w:rsidR="00D25737" w:rsidRPr="00BC1E70">
        <w:rPr>
          <w:rFonts w:cstheme="minorHAnsi"/>
        </w:rPr>
        <w:t xml:space="preserve">: </w:t>
      </w:r>
    </w:p>
    <w:p w:rsidR="0075516B" w:rsidRPr="00BC1E70" w:rsidRDefault="0075516B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1.4.2 tulemusnäitaja „</w:t>
      </w:r>
      <w:r w:rsidR="00BC1E70" w:rsidRPr="00BC1E70">
        <w:rPr>
          <w:rFonts w:cstheme="minorHAnsi"/>
        </w:rPr>
        <w:t>r</w:t>
      </w:r>
      <w:r w:rsidRPr="00BC1E70">
        <w:rPr>
          <w:rFonts w:cstheme="minorHAnsi"/>
        </w:rPr>
        <w:t>askete hariduslike erivajadustega (puuetega) õpilaste osakaal kaasatuna tavakooli</w:t>
      </w:r>
      <w:r w:rsidR="00D25737" w:rsidRPr="00BC1E70">
        <w:rPr>
          <w:rFonts w:cstheme="minorHAnsi"/>
        </w:rPr>
        <w:t>“</w:t>
      </w:r>
      <w:r w:rsidR="00BC1E70" w:rsidRPr="00BC1E70">
        <w:rPr>
          <w:rFonts w:cstheme="minorHAnsi"/>
        </w:rPr>
        <w:t>;</w:t>
      </w:r>
      <w:r w:rsidR="00D25737" w:rsidRPr="00BC1E70">
        <w:rPr>
          <w:rFonts w:cstheme="minorHAnsi"/>
        </w:rPr>
        <w:t xml:space="preserve"> </w:t>
      </w:r>
    </w:p>
    <w:p w:rsidR="00A83BCD" w:rsidRPr="00BC1E70" w:rsidRDefault="00A83BCD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4. suuna näitajad CO01 „</w:t>
      </w:r>
      <w:r w:rsidR="00BC1E70" w:rsidRPr="00BC1E70">
        <w:rPr>
          <w:rFonts w:cstheme="minorHAnsi"/>
        </w:rPr>
        <w:t>a</w:t>
      </w:r>
      <w:r w:rsidRPr="00BC1E70">
        <w:rPr>
          <w:rFonts w:cstheme="minorHAnsi"/>
        </w:rPr>
        <w:t>bi saavate ettevõtete arv“, 77 „</w:t>
      </w:r>
      <w:r w:rsidR="00BC1E70" w:rsidRPr="00BC1E70">
        <w:rPr>
          <w:rFonts w:cstheme="minorHAnsi"/>
          <w:noProof/>
        </w:rPr>
        <w:t>a</w:t>
      </w:r>
      <w:r w:rsidRPr="00BC1E70">
        <w:rPr>
          <w:rFonts w:cstheme="minorHAnsi"/>
          <w:noProof/>
        </w:rPr>
        <w:t>bi saavate ettevõtete arv (kokku)</w:t>
      </w:r>
      <w:r w:rsidRPr="00BC1E70">
        <w:rPr>
          <w:rFonts w:cstheme="minorHAnsi"/>
        </w:rPr>
        <w:t>“</w:t>
      </w:r>
      <w:r w:rsidRPr="00BC1E70">
        <w:rPr>
          <w:rFonts w:cstheme="minorHAnsi"/>
          <w:noProof/>
        </w:rPr>
        <w:t xml:space="preserve"> ja 78</w:t>
      </w:r>
      <w:r w:rsidR="00BC1E70" w:rsidRPr="00BC1E70">
        <w:rPr>
          <w:rFonts w:cstheme="minorHAnsi"/>
          <w:noProof/>
        </w:rPr>
        <w:t xml:space="preserve"> </w:t>
      </w:r>
      <w:r w:rsidR="00BC1E70" w:rsidRPr="00BC1E70">
        <w:rPr>
          <w:rFonts w:cstheme="minorHAnsi"/>
        </w:rPr>
        <w:t>„</w:t>
      </w:r>
      <w:r w:rsidR="00BC1E70" w:rsidRPr="00BC1E70">
        <w:rPr>
          <w:rFonts w:cstheme="minorHAnsi"/>
          <w:noProof/>
        </w:rPr>
        <w:t>k</w:t>
      </w:r>
      <w:r w:rsidRPr="00BC1E70">
        <w:rPr>
          <w:rFonts w:cstheme="minorHAnsi"/>
          <w:noProof/>
        </w:rPr>
        <w:t>asvualadesse kuuluvate toetust saanud ettevõtete arv</w:t>
      </w:r>
      <w:r w:rsidR="00BC1E70" w:rsidRPr="00BC1E70">
        <w:rPr>
          <w:rFonts w:cstheme="minorHAnsi"/>
        </w:rPr>
        <w:t>“</w:t>
      </w:r>
      <w:r w:rsidR="00BC1E70" w:rsidRPr="00BC1E70">
        <w:rPr>
          <w:rFonts w:cstheme="minorHAnsi"/>
        </w:rPr>
        <w:t>;</w:t>
      </w:r>
    </w:p>
    <w:p w:rsidR="00D25737" w:rsidRPr="00BC1E70" w:rsidRDefault="00D25737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4.3.1 väljundnäitaja „</w:t>
      </w:r>
      <w:r w:rsidR="00BC1E70" w:rsidRPr="00BC1E70">
        <w:rPr>
          <w:rFonts w:cstheme="minorHAnsi"/>
        </w:rPr>
        <w:t>r</w:t>
      </w:r>
      <w:r w:rsidRPr="00BC1E70">
        <w:rPr>
          <w:rFonts w:cstheme="minorHAnsi"/>
        </w:rPr>
        <w:t>essursi- ja energiasäästuks toetust saanud ettevõtete arv“</w:t>
      </w:r>
      <w:r w:rsidR="00BC1E70" w:rsidRPr="00BC1E70">
        <w:rPr>
          <w:rFonts w:cstheme="minorHAnsi"/>
        </w:rPr>
        <w:t>;</w:t>
      </w:r>
      <w:r w:rsidRPr="00BC1E70">
        <w:rPr>
          <w:rFonts w:cstheme="minorHAnsi"/>
        </w:rPr>
        <w:t xml:space="preserve"> </w:t>
      </w:r>
    </w:p>
    <w:p w:rsidR="00D25737" w:rsidRPr="00BC1E70" w:rsidRDefault="00D25737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4.3.4 väljundnäitaja „</w:t>
      </w:r>
      <w:r w:rsidR="00BC1E70" w:rsidRPr="00BC1E70">
        <w:rPr>
          <w:rFonts w:cstheme="minorHAnsi"/>
        </w:rPr>
        <w:t>r</w:t>
      </w:r>
      <w:r w:rsidRPr="00BC1E70">
        <w:rPr>
          <w:rFonts w:cstheme="minorHAnsi"/>
        </w:rPr>
        <w:t>essursi- ja energiatõhususe auditite arv“</w:t>
      </w:r>
      <w:r w:rsidR="00BC1E70" w:rsidRPr="00BC1E70">
        <w:rPr>
          <w:rFonts w:cstheme="minorHAnsi"/>
        </w:rPr>
        <w:t>;</w:t>
      </w:r>
    </w:p>
    <w:p w:rsidR="005F1660" w:rsidRPr="00BC1E70" w:rsidRDefault="005F1660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6.4.1 väljundnäitaja „</w:t>
      </w:r>
      <w:r w:rsidR="00BC1E70" w:rsidRPr="00BC1E70">
        <w:rPr>
          <w:rFonts w:cstheme="minorHAnsi"/>
        </w:rPr>
        <w:t>m</w:t>
      </w:r>
      <w:r w:rsidRPr="00BC1E70">
        <w:rPr>
          <w:rFonts w:cstheme="minorHAnsi"/>
        </w:rPr>
        <w:t xml:space="preserve">eetme tulemusel toodetud ning transpordis kasutusse võetud </w:t>
      </w:r>
      <w:proofErr w:type="spellStart"/>
      <w:r w:rsidRPr="00BC1E70">
        <w:rPr>
          <w:rFonts w:cstheme="minorHAnsi"/>
        </w:rPr>
        <w:t>biometaani</w:t>
      </w:r>
      <w:proofErr w:type="spellEnd"/>
      <w:r w:rsidRPr="00BC1E70">
        <w:rPr>
          <w:rFonts w:cstheme="minorHAnsi"/>
        </w:rPr>
        <w:t xml:space="preserve"> aastane kogus“</w:t>
      </w:r>
      <w:r w:rsidR="00BC1E70" w:rsidRPr="00BC1E70">
        <w:rPr>
          <w:rFonts w:cstheme="minorHAnsi"/>
        </w:rPr>
        <w:t>;</w:t>
      </w:r>
    </w:p>
    <w:p w:rsidR="005F1660" w:rsidRPr="00BC1E70" w:rsidRDefault="005F1660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6.2.4 väljundnäitaja „</w:t>
      </w:r>
      <w:r w:rsidR="00BC1E70" w:rsidRPr="00BC1E70">
        <w:rPr>
          <w:rFonts w:cstheme="minorHAnsi"/>
        </w:rPr>
        <w:t>l</w:t>
      </w:r>
      <w:r w:rsidRPr="00BC1E70">
        <w:rPr>
          <w:rFonts w:cstheme="minorHAnsi"/>
        </w:rPr>
        <w:t>okaalsete taastuvenergia küttelahenduste ehitamine kaugküttelahenduse asemele“</w:t>
      </w:r>
      <w:r w:rsidR="00BC1E70" w:rsidRPr="00BC1E70">
        <w:rPr>
          <w:rFonts w:cstheme="minorHAnsi"/>
        </w:rPr>
        <w:t>;</w:t>
      </w:r>
    </w:p>
    <w:p w:rsidR="005F1660" w:rsidRPr="00BC1E70" w:rsidRDefault="005F1660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 xml:space="preserve">10.1.2 väljundnäitaja </w:t>
      </w:r>
      <w:r w:rsidR="00BC1E70" w:rsidRPr="00BC1E70">
        <w:rPr>
          <w:rFonts w:cstheme="minorHAnsi"/>
        </w:rPr>
        <w:t>„</w:t>
      </w:r>
      <w:r w:rsidR="00BC1E70" w:rsidRPr="00BC1E70">
        <w:rPr>
          <w:rFonts w:cstheme="minorHAnsi"/>
        </w:rPr>
        <w:t>m</w:t>
      </w:r>
      <w:r w:rsidRPr="00BC1E70">
        <w:rPr>
          <w:rFonts w:cstheme="minorHAnsi"/>
        </w:rPr>
        <w:t>aantee: uute teede kogupikkus, millest TEN-T</w:t>
      </w:r>
      <w:r w:rsidR="00BC1E70" w:rsidRPr="00BC1E70">
        <w:rPr>
          <w:rFonts w:cstheme="minorHAnsi"/>
        </w:rPr>
        <w:t>“;</w:t>
      </w:r>
      <w:r w:rsidRPr="00BC1E70">
        <w:rPr>
          <w:rFonts w:cstheme="minorHAnsi"/>
        </w:rPr>
        <w:t xml:space="preserve"> </w:t>
      </w:r>
    </w:p>
    <w:p w:rsidR="005F1660" w:rsidRPr="00BC1E70" w:rsidRDefault="005F1660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 xml:space="preserve">10.1.1 väljundnäitaja </w:t>
      </w:r>
      <w:r w:rsidR="00BC1E70" w:rsidRPr="00BC1E70">
        <w:rPr>
          <w:rFonts w:cstheme="minorHAnsi"/>
        </w:rPr>
        <w:t>„</w:t>
      </w:r>
      <w:r w:rsidR="00BC1E70" w:rsidRPr="00BC1E70">
        <w:rPr>
          <w:rFonts w:cstheme="minorHAnsi"/>
        </w:rPr>
        <w:t>m</w:t>
      </w:r>
      <w:r w:rsidRPr="00BC1E70">
        <w:rPr>
          <w:rFonts w:cstheme="minorHAnsi"/>
        </w:rPr>
        <w:t>aantee: rekonstrueeritud või uuendatud teede kogupikkus, millest TEN-T</w:t>
      </w:r>
      <w:r w:rsidR="00BC1E70" w:rsidRPr="00BC1E70">
        <w:rPr>
          <w:rFonts w:cstheme="minorHAnsi"/>
        </w:rPr>
        <w:t>“;</w:t>
      </w:r>
      <w:r w:rsidRPr="00BC1E70">
        <w:rPr>
          <w:rFonts w:cstheme="minorHAnsi"/>
        </w:rPr>
        <w:t xml:space="preserve"> </w:t>
      </w:r>
    </w:p>
    <w:p w:rsidR="00BC1E70" w:rsidRPr="00BC1E70" w:rsidRDefault="005F1660" w:rsidP="00945B2A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 xml:space="preserve">10.2.2 väljundnäitaja </w:t>
      </w:r>
      <w:r w:rsidR="00BC1E70" w:rsidRPr="00BC1E70">
        <w:rPr>
          <w:rFonts w:cstheme="minorHAnsi"/>
        </w:rPr>
        <w:t>„</w:t>
      </w:r>
      <w:r w:rsidR="00BC1E70" w:rsidRPr="00BC1E70">
        <w:rPr>
          <w:rFonts w:cstheme="minorHAnsi"/>
        </w:rPr>
        <w:t>r</w:t>
      </w:r>
      <w:r w:rsidRPr="00BC1E70">
        <w:rPr>
          <w:rFonts w:cstheme="minorHAnsi"/>
        </w:rPr>
        <w:t>audtee: rekonst</w:t>
      </w:r>
      <w:r w:rsidR="00974946">
        <w:rPr>
          <w:rFonts w:cstheme="minorHAnsi"/>
        </w:rPr>
        <w:t>r</w:t>
      </w:r>
      <w:r w:rsidRPr="00BC1E70">
        <w:rPr>
          <w:rFonts w:cstheme="minorHAnsi"/>
        </w:rPr>
        <w:t>ueeritud või uuendatud raudteeliinide kogupikkus, millest TEN-T</w:t>
      </w:r>
      <w:r w:rsidR="00BC1E70" w:rsidRPr="00BC1E70">
        <w:rPr>
          <w:rFonts w:cstheme="minorHAnsi"/>
        </w:rPr>
        <w:t>“;</w:t>
      </w:r>
    </w:p>
    <w:p w:rsidR="00D25737" w:rsidRPr="00BC1E70" w:rsidRDefault="00D25737" w:rsidP="00945B2A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10.2.1, 10.2.4 tulemusnäitaja „</w:t>
      </w:r>
      <w:r w:rsidR="00BC1E70" w:rsidRPr="00BC1E70">
        <w:rPr>
          <w:rFonts w:cstheme="minorHAnsi"/>
        </w:rPr>
        <w:t>ü</w:t>
      </w:r>
      <w:r w:rsidRPr="00BC1E70">
        <w:rPr>
          <w:rFonts w:cstheme="minorHAnsi"/>
        </w:rPr>
        <w:t>histranspordi kasutajate, jalgsi ja jalgrattaga liikujate osakaal</w:t>
      </w:r>
      <w:r w:rsidR="00BC1E70" w:rsidRPr="00BC1E70">
        <w:rPr>
          <w:rFonts w:cstheme="minorHAnsi"/>
        </w:rPr>
        <w:t>“;</w:t>
      </w:r>
      <w:r w:rsidRPr="00BC1E70">
        <w:rPr>
          <w:rFonts w:cstheme="minorHAnsi"/>
        </w:rPr>
        <w:t xml:space="preserve"> </w:t>
      </w:r>
    </w:p>
    <w:p w:rsidR="00D25737" w:rsidRPr="00BC1E70" w:rsidRDefault="00D25737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 xml:space="preserve">11.1.1 tulemusnäitaja </w:t>
      </w:r>
      <w:r w:rsidR="00BC1E70" w:rsidRPr="00BC1E70">
        <w:rPr>
          <w:rFonts w:cstheme="minorHAnsi"/>
        </w:rPr>
        <w:t>„</w:t>
      </w:r>
      <w:r w:rsidRPr="00BC1E70">
        <w:rPr>
          <w:rFonts w:cstheme="minorHAnsi"/>
        </w:rPr>
        <w:t xml:space="preserve">100 </w:t>
      </w:r>
      <w:proofErr w:type="spellStart"/>
      <w:r w:rsidRPr="00BC1E70">
        <w:rPr>
          <w:rFonts w:cstheme="minorHAnsi"/>
        </w:rPr>
        <w:t>Mbp</w:t>
      </w:r>
      <w:proofErr w:type="spellEnd"/>
      <w:r w:rsidRPr="00BC1E70">
        <w:rPr>
          <w:rFonts w:cstheme="minorHAnsi"/>
        </w:rPr>
        <w:t>/s või suurema kiirusega interneti püsiühenduste osakaal</w:t>
      </w:r>
      <w:r w:rsidR="00BC1E70" w:rsidRPr="00BC1E70">
        <w:rPr>
          <w:rFonts w:cstheme="minorHAnsi"/>
        </w:rPr>
        <w:t>“;</w:t>
      </w:r>
    </w:p>
    <w:p w:rsidR="005F1660" w:rsidRPr="00BC1E70" w:rsidRDefault="005F1660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 xml:space="preserve">11.2.1 väljundnäitaja </w:t>
      </w:r>
      <w:r w:rsidR="00BC1E70" w:rsidRPr="00BC1E70">
        <w:rPr>
          <w:rFonts w:cstheme="minorHAnsi"/>
        </w:rPr>
        <w:t>„</w:t>
      </w:r>
      <w:r w:rsidR="00BC1E70" w:rsidRPr="00BC1E70">
        <w:rPr>
          <w:rFonts w:cstheme="minorHAnsi"/>
        </w:rPr>
        <w:t>t</w:t>
      </w:r>
      <w:r w:rsidRPr="00BC1E70">
        <w:rPr>
          <w:rFonts w:cstheme="minorHAnsi"/>
        </w:rPr>
        <w:t>eenuste baastaristul põhinevate uute piiriüleste avalike teenuste arv“</w:t>
      </w:r>
      <w:r w:rsidR="00BC1E70" w:rsidRPr="00BC1E70">
        <w:rPr>
          <w:rFonts w:cstheme="minorHAnsi"/>
        </w:rPr>
        <w:t>;</w:t>
      </w:r>
      <w:r w:rsidRPr="00BC1E70">
        <w:rPr>
          <w:rFonts w:cstheme="minorHAnsi"/>
        </w:rPr>
        <w:t xml:space="preserve">  </w:t>
      </w:r>
    </w:p>
    <w:p w:rsidR="005F1660" w:rsidRPr="00BC1E70" w:rsidRDefault="005F1660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11.2.1 väljundnäitaja „</w:t>
      </w:r>
      <w:r w:rsidR="00BC1E70" w:rsidRPr="00BC1E70">
        <w:rPr>
          <w:rFonts w:cstheme="minorHAnsi"/>
        </w:rPr>
        <w:t>t</w:t>
      </w:r>
      <w:r w:rsidRPr="00BC1E70">
        <w:rPr>
          <w:rFonts w:cstheme="minorHAnsi"/>
        </w:rPr>
        <w:t>eenuste baastaristul põhinevate uute piiriüleste avalike teenuste arv“</w:t>
      </w:r>
      <w:r w:rsidR="00BC1E70" w:rsidRPr="00BC1E70">
        <w:rPr>
          <w:rFonts w:cstheme="minorHAnsi"/>
        </w:rPr>
        <w:t>;</w:t>
      </w:r>
    </w:p>
    <w:p w:rsidR="00C94BB8" w:rsidRPr="00BC1E70" w:rsidRDefault="00D25737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12.3.1-12.3.2 tulemusnäitaja „</w:t>
      </w:r>
      <w:r w:rsidR="00BC1E70" w:rsidRPr="00BC1E70">
        <w:rPr>
          <w:rFonts w:cstheme="minorHAnsi"/>
        </w:rPr>
        <w:t>r</w:t>
      </w:r>
      <w:r w:rsidRPr="00BC1E70">
        <w:rPr>
          <w:rFonts w:cstheme="minorHAnsi"/>
        </w:rPr>
        <w:t>ahulolu avalike teenuste kvaliteediga (16.-74-aastaste elanike hulgas)“</w:t>
      </w:r>
      <w:r w:rsidR="005F1660" w:rsidRPr="00BC1E70">
        <w:rPr>
          <w:rFonts w:cstheme="minorHAnsi"/>
        </w:rPr>
        <w:t>.</w:t>
      </w:r>
    </w:p>
    <w:p w:rsidR="00B6164B" w:rsidRPr="00BC1E70" w:rsidRDefault="00B6164B" w:rsidP="00FB2920">
      <w:pPr>
        <w:pStyle w:val="Loendilik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  <w:b/>
        </w:rPr>
        <w:t>Näitajate auditist tulenevalt</w:t>
      </w:r>
      <w:r w:rsidRPr="00BC1E70">
        <w:rPr>
          <w:rFonts w:cstheme="minorHAnsi"/>
        </w:rPr>
        <w:t xml:space="preserve"> korrigeeritud järgmiste näitajate </w:t>
      </w:r>
      <w:r w:rsidRPr="00974946">
        <w:rPr>
          <w:rFonts w:cstheme="minorHAnsi"/>
          <w:b/>
        </w:rPr>
        <w:t>saavutustasemeid</w:t>
      </w:r>
      <w:r w:rsidRPr="00BC1E70">
        <w:rPr>
          <w:rFonts w:cstheme="minorHAnsi"/>
        </w:rPr>
        <w:t>:</w:t>
      </w:r>
    </w:p>
    <w:p w:rsidR="00C25B58" w:rsidRPr="00BC1E70" w:rsidRDefault="00C25B58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Koondnäitaja „k</w:t>
      </w:r>
      <w:r w:rsidRPr="00BC1E70">
        <w:rPr>
          <w:rFonts w:cstheme="minorHAnsi"/>
        </w:rPr>
        <w:t>oolitusel osalenud õpetajate, haridusasutuste juhtide ja noorsootöötajate arv</w:t>
      </w:r>
      <w:r w:rsidRPr="00BC1E70">
        <w:rPr>
          <w:rFonts w:cstheme="minorHAnsi"/>
        </w:rPr>
        <w:t>“ täitmine 24 568 (-1);</w:t>
      </w:r>
    </w:p>
    <w:p w:rsidR="00C25B58" w:rsidRPr="00BC1E70" w:rsidRDefault="00C25B58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1.2.1 väljundnäitaja „koolitustel os</w:t>
      </w:r>
      <w:r w:rsidRPr="00BC1E70">
        <w:rPr>
          <w:rFonts w:cstheme="minorHAnsi"/>
        </w:rPr>
        <w:t>alenud õpetajate arv</w:t>
      </w:r>
      <w:r w:rsidRPr="00BC1E70">
        <w:rPr>
          <w:rFonts w:cstheme="minorHAnsi"/>
        </w:rPr>
        <w:t>“ täitmine 16 886 (-1);</w:t>
      </w:r>
    </w:p>
    <w:p w:rsidR="00B6164B" w:rsidRPr="00BC1E70" w:rsidRDefault="00261352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4.1.1 väljundnäitaja „teadusasutustega koostööd tegevate ettevõtete arv“ täitmine 582</w:t>
      </w:r>
      <w:r w:rsidR="002E163B" w:rsidRPr="00BC1E70">
        <w:rPr>
          <w:rFonts w:cstheme="minorHAnsi"/>
        </w:rPr>
        <w:t xml:space="preserve"> (-45)</w:t>
      </w:r>
      <w:r w:rsidRPr="00BC1E70">
        <w:rPr>
          <w:rFonts w:cstheme="minorHAnsi"/>
        </w:rPr>
        <w:t>;</w:t>
      </w:r>
    </w:p>
    <w:p w:rsidR="002E163B" w:rsidRPr="00BC1E70" w:rsidRDefault="002E163B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4. suuna koondnäitaja „a</w:t>
      </w:r>
      <w:r w:rsidRPr="00BC1E70">
        <w:rPr>
          <w:rFonts w:cstheme="minorHAnsi"/>
        </w:rPr>
        <w:t>bi saavate ettevõtete arv (kokku)</w:t>
      </w:r>
      <w:r w:rsidRPr="00BC1E70">
        <w:rPr>
          <w:rFonts w:cstheme="minorHAnsi"/>
        </w:rPr>
        <w:t>“ täitmine 4270;</w:t>
      </w:r>
    </w:p>
    <w:p w:rsidR="002E163B" w:rsidRPr="00BC1E70" w:rsidRDefault="002E163B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lastRenderedPageBreak/>
        <w:t>4.2.3 väljundnäitaja „e</w:t>
      </w:r>
      <w:r w:rsidRPr="00BC1E70">
        <w:rPr>
          <w:rFonts w:cstheme="minorHAnsi"/>
        </w:rPr>
        <w:t>ttevõtete arv, kellega ülikoolid ja teadusasutused on kasvualade rakendusuuringute käigus koostööd teinud</w:t>
      </w:r>
      <w:r w:rsidRPr="00BC1E70">
        <w:rPr>
          <w:rFonts w:cstheme="minorHAnsi"/>
        </w:rPr>
        <w:t>“ täitmine 9 (-16);</w:t>
      </w:r>
    </w:p>
    <w:p w:rsidR="002E163B" w:rsidRPr="00BC1E70" w:rsidRDefault="002E163B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4.2.6 väljundnäitaja „p</w:t>
      </w:r>
      <w:r w:rsidRPr="00BC1E70">
        <w:rPr>
          <w:rFonts w:cstheme="minorHAnsi"/>
        </w:rPr>
        <w:t>otentsiaalsed ja tegutsevad start-</w:t>
      </w:r>
      <w:proofErr w:type="spellStart"/>
      <w:r w:rsidRPr="00BC1E70">
        <w:rPr>
          <w:rFonts w:cstheme="minorHAnsi"/>
        </w:rPr>
        <w:t>up</w:t>
      </w:r>
      <w:proofErr w:type="spellEnd"/>
      <w:r w:rsidRPr="00BC1E70">
        <w:rPr>
          <w:rFonts w:cstheme="minorHAnsi"/>
        </w:rPr>
        <w:t xml:space="preserve"> ettevõtjad</w:t>
      </w:r>
      <w:r w:rsidRPr="00BC1E70">
        <w:rPr>
          <w:rFonts w:cstheme="minorHAnsi"/>
        </w:rPr>
        <w:t xml:space="preserve">“ täitmine 2709 (-249); </w:t>
      </w:r>
    </w:p>
    <w:p w:rsidR="00261352" w:rsidRPr="00BC1E70" w:rsidRDefault="002E163B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4.3.1 väljundnäitaja „r</w:t>
      </w:r>
      <w:r w:rsidRPr="00BC1E70">
        <w:rPr>
          <w:rFonts w:cstheme="minorHAnsi"/>
        </w:rPr>
        <w:t>essursi- ja energiasäästuks toetust saanud ettevõtete arv</w:t>
      </w:r>
      <w:r w:rsidRPr="00BC1E70">
        <w:rPr>
          <w:rFonts w:cstheme="minorHAnsi"/>
        </w:rPr>
        <w:t xml:space="preserve">“ täitmine 11 (-1); </w:t>
      </w:r>
    </w:p>
    <w:p w:rsidR="002E163B" w:rsidRPr="00BC1E70" w:rsidRDefault="002E163B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4.4.1 väljundnäitaja „a</w:t>
      </w:r>
      <w:r w:rsidRPr="00BC1E70">
        <w:rPr>
          <w:rFonts w:cstheme="minorHAnsi"/>
        </w:rPr>
        <w:t>bi saavate ettevõtete arv (kokku)</w:t>
      </w:r>
      <w:r w:rsidRPr="00BC1E70">
        <w:rPr>
          <w:rFonts w:cstheme="minorHAnsi"/>
        </w:rPr>
        <w:t>“ täitmine 118 (-8);</w:t>
      </w:r>
    </w:p>
    <w:p w:rsidR="002E163B" w:rsidRPr="00BC1E70" w:rsidRDefault="002E163B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5. suuna koondnäitaja „a</w:t>
      </w:r>
      <w:r w:rsidRPr="00BC1E70">
        <w:rPr>
          <w:rFonts w:cstheme="minorHAnsi"/>
        </w:rPr>
        <w:t>bi saavate ettevõtete arv (kokku)</w:t>
      </w:r>
      <w:r w:rsidRPr="00BC1E70">
        <w:rPr>
          <w:rFonts w:cstheme="minorHAnsi"/>
        </w:rPr>
        <w:t>“ täitmine 10 263;</w:t>
      </w:r>
    </w:p>
    <w:p w:rsidR="002E163B" w:rsidRPr="00BC1E70" w:rsidRDefault="002E163B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5.1.3 väljundnäitaja „</w:t>
      </w:r>
      <w:r w:rsidR="00974946">
        <w:rPr>
          <w:rFonts w:cstheme="minorHAnsi"/>
        </w:rPr>
        <w:t>e</w:t>
      </w:r>
      <w:r w:rsidRPr="00BC1E70">
        <w:rPr>
          <w:rFonts w:cstheme="minorHAnsi"/>
        </w:rPr>
        <w:t>kspordi arendamise ja eksportööride välisturul nõustamise teenuseid kasutanud ettevõtete arv</w:t>
      </w:r>
      <w:r w:rsidRPr="00BC1E70">
        <w:rPr>
          <w:rFonts w:cstheme="minorHAnsi"/>
        </w:rPr>
        <w:t xml:space="preserve">“ täitmine 5864 (-4); </w:t>
      </w:r>
    </w:p>
    <w:p w:rsidR="002E163B" w:rsidRPr="00BC1E70" w:rsidRDefault="002E163B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5.1.2 väljundnäitaja „</w:t>
      </w:r>
      <w:r w:rsidR="00974946">
        <w:rPr>
          <w:rFonts w:cstheme="minorHAnsi"/>
        </w:rPr>
        <w:t>l</w:t>
      </w:r>
      <w:r w:rsidRPr="00BC1E70">
        <w:rPr>
          <w:rFonts w:cstheme="minorHAnsi"/>
        </w:rPr>
        <w:t>aenu, tagatist ja eksporditehingute kindlustust saanud ettevõtjate arv</w:t>
      </w:r>
      <w:r w:rsidRPr="00BC1E70">
        <w:rPr>
          <w:rFonts w:cstheme="minorHAnsi"/>
        </w:rPr>
        <w:t>“ täitmine 276 (-22);</w:t>
      </w:r>
    </w:p>
    <w:p w:rsidR="002E163B" w:rsidRPr="00BC1E70" w:rsidRDefault="002E163B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5.3.3 väljundnäitaja „</w:t>
      </w:r>
      <w:r w:rsidR="00974946">
        <w:rPr>
          <w:rFonts w:cstheme="minorHAnsi"/>
        </w:rPr>
        <w:t>t</w:t>
      </w:r>
      <w:r w:rsidRPr="00BC1E70">
        <w:rPr>
          <w:rFonts w:cstheme="minorHAnsi"/>
        </w:rPr>
        <w:t>oetusi saavate ettevõtete arv</w:t>
      </w:r>
      <w:r w:rsidRPr="00BC1E70">
        <w:rPr>
          <w:rFonts w:cstheme="minorHAnsi"/>
        </w:rPr>
        <w:t>“ täitmine 82 (-3);</w:t>
      </w:r>
    </w:p>
    <w:p w:rsidR="002E163B" w:rsidRPr="00BC1E70" w:rsidRDefault="00FB2920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7.1.1 väljundnäitaja „</w:t>
      </w:r>
      <w:r w:rsidR="00974946">
        <w:rPr>
          <w:rFonts w:cstheme="minorHAnsi"/>
        </w:rPr>
        <w:t>t</w:t>
      </w:r>
      <w:r w:rsidRPr="00BC1E70">
        <w:rPr>
          <w:rFonts w:cstheme="minorHAnsi"/>
        </w:rPr>
        <w:t>äiendav elanikkond, kellele on suunatud tõhusama reoveepuhastuse teenus</w:t>
      </w:r>
      <w:r w:rsidRPr="00BC1E70">
        <w:rPr>
          <w:rFonts w:cstheme="minorHAnsi"/>
        </w:rPr>
        <w:t>“ täitmine 4157 (-1749);</w:t>
      </w:r>
    </w:p>
    <w:p w:rsidR="00FB2920" w:rsidRPr="00BC1E70" w:rsidRDefault="00FB2920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8. suuna koondnäitaja „</w:t>
      </w:r>
      <w:r w:rsidR="00974946">
        <w:rPr>
          <w:rFonts w:cstheme="minorHAnsi"/>
        </w:rPr>
        <w:t>s</w:t>
      </w:r>
      <w:r w:rsidRPr="00BC1E70">
        <w:rPr>
          <w:rFonts w:cstheme="minorHAnsi"/>
        </w:rPr>
        <w:t>oetatud, rajatud ja rekonstrueeritud objektide arv seoses kaitstavate liikide või elupaikadega</w:t>
      </w:r>
      <w:r w:rsidRPr="00BC1E70">
        <w:rPr>
          <w:rFonts w:cstheme="minorHAnsi"/>
        </w:rPr>
        <w:t>“ täitmine 826,5;</w:t>
      </w:r>
    </w:p>
    <w:p w:rsidR="00FB2920" w:rsidRDefault="00FB2920" w:rsidP="00FB2920">
      <w:pPr>
        <w:pStyle w:val="Loendilik"/>
        <w:numPr>
          <w:ilvl w:val="1"/>
          <w:numId w:val="1"/>
        </w:numPr>
        <w:spacing w:after="60" w:line="240" w:lineRule="auto"/>
        <w:jc w:val="both"/>
        <w:rPr>
          <w:rFonts w:cstheme="minorHAnsi"/>
        </w:rPr>
      </w:pPr>
      <w:r w:rsidRPr="00BC1E70">
        <w:rPr>
          <w:rFonts w:cstheme="minorHAnsi"/>
        </w:rPr>
        <w:t>8.1.2 väljundnäitaja „</w:t>
      </w:r>
      <w:r w:rsidR="00974946">
        <w:rPr>
          <w:rFonts w:cstheme="minorHAnsi"/>
        </w:rPr>
        <w:t>s</w:t>
      </w:r>
      <w:r w:rsidRPr="00BC1E70">
        <w:rPr>
          <w:rFonts w:cstheme="minorHAnsi"/>
        </w:rPr>
        <w:t>oetatud, rajatud ja rekonstrueeritud objektide arv seoses kaitstavate liikide või elupaikadega</w:t>
      </w:r>
      <w:r w:rsidRPr="00BC1E70">
        <w:rPr>
          <w:rFonts w:cstheme="minorHAnsi"/>
        </w:rPr>
        <w:t>“ täitmine 781,5 (-43).</w:t>
      </w:r>
    </w:p>
    <w:p w:rsidR="00182B8C" w:rsidRPr="00BC1E70" w:rsidRDefault="00182B8C" w:rsidP="00182B8C">
      <w:pPr>
        <w:pStyle w:val="Loendilik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Seirearuande tekstifailis uuendatud 4. suuna tulemusraamistikuga seotud järeldusi.</w:t>
      </w:r>
      <w:bookmarkStart w:id="0" w:name="_GoBack"/>
      <w:bookmarkEnd w:id="0"/>
    </w:p>
    <w:p w:rsidR="00ED36B3" w:rsidRPr="00BC1E70" w:rsidRDefault="00ED36B3" w:rsidP="00FB2920">
      <w:pPr>
        <w:spacing w:after="60" w:line="240" w:lineRule="auto"/>
        <w:jc w:val="both"/>
        <w:rPr>
          <w:rFonts w:cstheme="minorHAnsi"/>
        </w:rPr>
      </w:pPr>
    </w:p>
    <w:sectPr w:rsidR="00ED36B3" w:rsidRPr="00BC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B7CCE"/>
    <w:multiLevelType w:val="hybridMultilevel"/>
    <w:tmpl w:val="95D222DE"/>
    <w:lvl w:ilvl="0" w:tplc="1FB00CC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16B"/>
    <w:rsid w:val="00015F3F"/>
    <w:rsid w:val="000B3369"/>
    <w:rsid w:val="00105C74"/>
    <w:rsid w:val="00182B8C"/>
    <w:rsid w:val="001E0E64"/>
    <w:rsid w:val="00236977"/>
    <w:rsid w:val="00261352"/>
    <w:rsid w:val="002D478A"/>
    <w:rsid w:val="002E163B"/>
    <w:rsid w:val="00404548"/>
    <w:rsid w:val="00501065"/>
    <w:rsid w:val="005244A4"/>
    <w:rsid w:val="005F1660"/>
    <w:rsid w:val="0075516B"/>
    <w:rsid w:val="008342C4"/>
    <w:rsid w:val="00860066"/>
    <w:rsid w:val="008634C9"/>
    <w:rsid w:val="00917081"/>
    <w:rsid w:val="00974946"/>
    <w:rsid w:val="009E3247"/>
    <w:rsid w:val="00A83BCD"/>
    <w:rsid w:val="00AB7B8D"/>
    <w:rsid w:val="00B6164B"/>
    <w:rsid w:val="00BC1E70"/>
    <w:rsid w:val="00C25B58"/>
    <w:rsid w:val="00C94BB8"/>
    <w:rsid w:val="00CC1C90"/>
    <w:rsid w:val="00D06D55"/>
    <w:rsid w:val="00D25737"/>
    <w:rsid w:val="00DD6D35"/>
    <w:rsid w:val="00E14101"/>
    <w:rsid w:val="00E638BB"/>
    <w:rsid w:val="00ED36B3"/>
    <w:rsid w:val="00F36D7C"/>
    <w:rsid w:val="00FB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DC14"/>
  <w15:chartTrackingRefBased/>
  <w15:docId w15:val="{52ACE14A-1D38-45AF-9794-262B2BD2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75516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55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8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5601</TotalTime>
  <Pages>2</Pages>
  <Words>656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Altermann</dc:creator>
  <cp:keywords/>
  <dc:description/>
  <cp:lastModifiedBy>Karin Reiska</cp:lastModifiedBy>
  <cp:revision>8</cp:revision>
  <dcterms:created xsi:type="dcterms:W3CDTF">2019-07-16T06:27:00Z</dcterms:created>
  <dcterms:modified xsi:type="dcterms:W3CDTF">2019-07-16T09:24:00Z</dcterms:modified>
</cp:coreProperties>
</file>