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C6B0" w14:textId="23FFC8F3" w:rsidR="00740464" w:rsidRDefault="006323CD">
      <w:pPr>
        <w:rPr>
          <w:rFonts w:ascii="Times New Roman" w:hAnsi="Times New Roman" w:cs="Times New Roman"/>
          <w:b/>
          <w:sz w:val="24"/>
          <w:szCs w:val="24"/>
        </w:rPr>
      </w:pPr>
      <w:r w:rsidRPr="00C51AB1">
        <w:rPr>
          <w:rFonts w:ascii="Times New Roman" w:hAnsi="Times New Roman" w:cs="Times New Roman"/>
          <w:b/>
          <w:sz w:val="24"/>
          <w:szCs w:val="24"/>
        </w:rPr>
        <w:t xml:space="preserve">KLIIMAKINDLUSE </w:t>
      </w:r>
      <w:r w:rsidR="005E27FE">
        <w:rPr>
          <w:rFonts w:ascii="Times New Roman" w:hAnsi="Times New Roman" w:cs="Times New Roman"/>
          <w:b/>
          <w:sz w:val="24"/>
          <w:szCs w:val="24"/>
        </w:rPr>
        <w:t>TAGAMISE</w:t>
      </w:r>
      <w:r w:rsidR="004A2823">
        <w:rPr>
          <w:rFonts w:ascii="Times New Roman" w:hAnsi="Times New Roman" w:cs="Times New Roman"/>
          <w:b/>
          <w:sz w:val="24"/>
          <w:szCs w:val="24"/>
        </w:rPr>
        <w:t xml:space="preserve"> JUHEND</w:t>
      </w:r>
    </w:p>
    <w:p w14:paraId="26CCE334" w14:textId="77777777" w:rsidR="00DE3FDC" w:rsidRDefault="00DE3FDC">
      <w:pPr>
        <w:rPr>
          <w:rFonts w:ascii="Times New Roman" w:hAnsi="Times New Roman" w:cs="Times New Roman"/>
          <w:b/>
          <w:sz w:val="24"/>
          <w:szCs w:val="24"/>
        </w:rPr>
      </w:pPr>
    </w:p>
    <w:p w14:paraId="24E29877" w14:textId="529F24CB" w:rsidR="00DE3FDC" w:rsidRPr="00DE3FDC" w:rsidRDefault="00DE3FDC" w:rsidP="00DE3FDC">
      <w:pPr>
        <w:pStyle w:val="Pealkiri1"/>
      </w:pPr>
      <w:r w:rsidRPr="00DE3FDC">
        <w:t>Kliimakindluse hindamine</w:t>
      </w:r>
    </w:p>
    <w:p w14:paraId="672A6659" w14:textId="3620EEEC" w:rsidR="00AB4333" w:rsidRDefault="004A2823" w:rsidP="004A2823">
      <w:pPr>
        <w:jc w:val="both"/>
        <w:rPr>
          <w:rFonts w:ascii="Times New Roman" w:hAnsi="Times New Roman" w:cs="Times New Roman"/>
          <w:bCs/>
          <w:sz w:val="24"/>
          <w:szCs w:val="24"/>
        </w:rPr>
      </w:pPr>
      <w:r w:rsidRPr="004A2823">
        <w:rPr>
          <w:rFonts w:ascii="Times New Roman" w:hAnsi="Times New Roman" w:cs="Times New Roman"/>
          <w:bCs/>
          <w:sz w:val="24"/>
          <w:szCs w:val="24"/>
        </w:rPr>
        <w:t>T</w:t>
      </w:r>
      <w:r>
        <w:rPr>
          <w:rFonts w:ascii="Times New Roman" w:hAnsi="Times New Roman" w:cs="Times New Roman"/>
          <w:bCs/>
          <w:sz w:val="24"/>
          <w:szCs w:val="24"/>
        </w:rPr>
        <w:t>ule</w:t>
      </w:r>
      <w:r w:rsidR="00DF7E3B">
        <w:rPr>
          <w:rFonts w:ascii="Times New Roman" w:hAnsi="Times New Roman" w:cs="Times New Roman"/>
          <w:bCs/>
          <w:sz w:val="24"/>
          <w:szCs w:val="24"/>
        </w:rPr>
        <w:t>ne</w:t>
      </w:r>
      <w:r>
        <w:rPr>
          <w:rFonts w:ascii="Times New Roman" w:hAnsi="Times New Roman" w:cs="Times New Roman"/>
          <w:bCs/>
          <w:sz w:val="24"/>
          <w:szCs w:val="24"/>
        </w:rPr>
        <w:t>valt Euroopa Liidu struktuurivahendite kasutust re</w:t>
      </w:r>
      <w:r w:rsidR="00292D6E">
        <w:rPr>
          <w:rFonts w:ascii="Times New Roman" w:hAnsi="Times New Roman" w:cs="Times New Roman"/>
          <w:bCs/>
          <w:sz w:val="24"/>
          <w:szCs w:val="24"/>
        </w:rPr>
        <w:t>guleeriva</w:t>
      </w:r>
      <w:r w:rsidR="00D71BA4">
        <w:rPr>
          <w:rFonts w:ascii="Times New Roman" w:hAnsi="Times New Roman" w:cs="Times New Roman"/>
          <w:bCs/>
          <w:sz w:val="24"/>
          <w:szCs w:val="24"/>
        </w:rPr>
        <w:t xml:space="preserve">st </w:t>
      </w:r>
      <w:r w:rsidR="00292D6E">
        <w:rPr>
          <w:rFonts w:ascii="Times New Roman" w:hAnsi="Times New Roman" w:cs="Times New Roman"/>
          <w:bCs/>
          <w:sz w:val="24"/>
          <w:szCs w:val="24"/>
        </w:rPr>
        <w:t>ühissätete määruse</w:t>
      </w:r>
      <w:r w:rsidR="00D71BA4">
        <w:rPr>
          <w:rFonts w:ascii="Times New Roman" w:hAnsi="Times New Roman" w:cs="Times New Roman"/>
          <w:bCs/>
          <w:sz w:val="24"/>
          <w:szCs w:val="24"/>
        </w:rPr>
        <w:t>st</w:t>
      </w:r>
      <w:r>
        <w:rPr>
          <w:rStyle w:val="Allmrkuseviide"/>
          <w:rFonts w:ascii="Times New Roman" w:hAnsi="Times New Roman" w:cs="Times New Roman"/>
          <w:bCs/>
          <w:sz w:val="24"/>
          <w:szCs w:val="24"/>
        </w:rPr>
        <w:footnoteReference w:id="1"/>
      </w:r>
      <w:r>
        <w:rPr>
          <w:rFonts w:ascii="Times New Roman" w:hAnsi="Times New Roman" w:cs="Times New Roman"/>
          <w:bCs/>
          <w:sz w:val="24"/>
          <w:szCs w:val="24"/>
        </w:rPr>
        <w:t xml:space="preserve">, on kohustuslik tagada </w:t>
      </w:r>
      <w:r w:rsidR="00CC614B">
        <w:rPr>
          <w:rFonts w:ascii="Times New Roman" w:hAnsi="Times New Roman" w:cs="Times New Roman"/>
          <w:bCs/>
          <w:sz w:val="24"/>
          <w:szCs w:val="24"/>
        </w:rPr>
        <w:t xml:space="preserve">kliimakindlus </w:t>
      </w:r>
      <w:r>
        <w:rPr>
          <w:rFonts w:ascii="Times New Roman" w:hAnsi="Times New Roman" w:cs="Times New Roman"/>
          <w:bCs/>
          <w:sz w:val="24"/>
          <w:szCs w:val="24"/>
        </w:rPr>
        <w:t xml:space="preserve">taristuinvesteeringutel, mille kestvus on vähemalt 5 aastat. </w:t>
      </w:r>
    </w:p>
    <w:p w14:paraId="1D0B0970" w14:textId="5659DC2E" w:rsidR="004A2823" w:rsidRPr="004A2823" w:rsidRDefault="004A2823" w:rsidP="004A2823">
      <w:pPr>
        <w:jc w:val="both"/>
        <w:rPr>
          <w:rFonts w:ascii="Times New Roman" w:hAnsi="Times New Roman" w:cs="Times New Roman"/>
          <w:bCs/>
          <w:sz w:val="24"/>
          <w:szCs w:val="24"/>
        </w:rPr>
      </w:pPr>
      <w:r>
        <w:rPr>
          <w:rFonts w:ascii="Times New Roman" w:hAnsi="Times New Roman" w:cs="Times New Roman"/>
          <w:bCs/>
          <w:sz w:val="24"/>
          <w:szCs w:val="24"/>
        </w:rPr>
        <w:t>K</w:t>
      </w:r>
      <w:r w:rsidRPr="004A2823">
        <w:rPr>
          <w:rFonts w:ascii="Times New Roman" w:hAnsi="Times New Roman" w:cs="Times New Roman"/>
          <w:bCs/>
          <w:sz w:val="24"/>
          <w:szCs w:val="24"/>
        </w:rPr>
        <w:t>liimakindluse tagamine</w:t>
      </w:r>
      <w:r>
        <w:rPr>
          <w:rFonts w:ascii="Times New Roman" w:hAnsi="Times New Roman" w:cs="Times New Roman"/>
          <w:bCs/>
          <w:sz w:val="24"/>
          <w:szCs w:val="24"/>
        </w:rPr>
        <w:t xml:space="preserve"> on</w:t>
      </w:r>
      <w:r w:rsidRPr="004A2823">
        <w:rPr>
          <w:rFonts w:ascii="Times New Roman" w:hAnsi="Times New Roman" w:cs="Times New Roman"/>
          <w:bCs/>
          <w:sz w:val="24"/>
          <w:szCs w:val="24"/>
        </w:rPr>
        <w:t xml:space="preserve"> protsess, mille eesmärk on vältida taristu vastuvõtlikkust võimalikele pikaajalistele kliimamõjudele, tagades samas, et järgitakse energiatõhususe esikohale seadmise põhimõtet ja et projektist tulenevate kasvuhoonegaaside heitkoguste tase on kooskõlas </w:t>
      </w:r>
      <w:r w:rsidR="00CC614B">
        <w:rPr>
          <w:rFonts w:ascii="Times New Roman" w:hAnsi="Times New Roman" w:cs="Times New Roman"/>
          <w:bCs/>
          <w:sz w:val="24"/>
          <w:szCs w:val="24"/>
        </w:rPr>
        <w:t xml:space="preserve">2030. aastaks saavutatava kasvuhoonegaaside vähendamise eesmärgiga ning </w:t>
      </w:r>
      <w:r w:rsidRPr="004A2823">
        <w:rPr>
          <w:rFonts w:ascii="Times New Roman" w:hAnsi="Times New Roman" w:cs="Times New Roman"/>
          <w:bCs/>
          <w:sz w:val="24"/>
          <w:szCs w:val="24"/>
        </w:rPr>
        <w:t>2050. aastaks saavutatava kliimaneutraalsuse eesmärgiga</w:t>
      </w:r>
      <w:r>
        <w:rPr>
          <w:rFonts w:ascii="Times New Roman" w:hAnsi="Times New Roman" w:cs="Times New Roman"/>
          <w:bCs/>
          <w:sz w:val="24"/>
          <w:szCs w:val="24"/>
        </w:rPr>
        <w:t>.</w:t>
      </w:r>
    </w:p>
    <w:p w14:paraId="7B45D85F" w14:textId="641B6269" w:rsidR="00C51AB1" w:rsidRDefault="004A2823" w:rsidP="00C51AB1">
      <w:pPr>
        <w:jc w:val="both"/>
        <w:rPr>
          <w:rFonts w:ascii="Times New Roman" w:hAnsi="Times New Roman" w:cs="Times New Roman"/>
          <w:sz w:val="24"/>
          <w:szCs w:val="24"/>
        </w:rPr>
      </w:pPr>
      <w:r>
        <w:rPr>
          <w:rFonts w:ascii="Times New Roman" w:hAnsi="Times New Roman" w:cs="Times New Roman"/>
          <w:sz w:val="24"/>
          <w:szCs w:val="24"/>
        </w:rPr>
        <w:t xml:space="preserve">Kliimakindluse tagamise hindamiseks on </w:t>
      </w:r>
      <w:r w:rsidR="00C51AB1" w:rsidRPr="36D3019D">
        <w:rPr>
          <w:rFonts w:ascii="Times New Roman" w:hAnsi="Times New Roman" w:cs="Times New Roman"/>
          <w:sz w:val="24"/>
          <w:szCs w:val="24"/>
        </w:rPr>
        <w:t xml:space="preserve"> Euroopa Komisjon </w:t>
      </w:r>
      <w:r w:rsidRPr="36D3019D">
        <w:rPr>
          <w:rFonts w:ascii="Times New Roman" w:hAnsi="Times New Roman" w:cs="Times New Roman"/>
          <w:sz w:val="24"/>
          <w:szCs w:val="24"/>
        </w:rPr>
        <w:t xml:space="preserve">2021. aastal </w:t>
      </w:r>
      <w:r w:rsidR="00C51AB1" w:rsidRPr="36D3019D">
        <w:rPr>
          <w:rFonts w:ascii="Times New Roman" w:hAnsi="Times New Roman" w:cs="Times New Roman"/>
          <w:sz w:val="24"/>
          <w:szCs w:val="24"/>
        </w:rPr>
        <w:t xml:space="preserve"> </w:t>
      </w:r>
      <w:r>
        <w:rPr>
          <w:rFonts w:ascii="Times New Roman" w:hAnsi="Times New Roman" w:cs="Times New Roman"/>
          <w:sz w:val="24"/>
          <w:szCs w:val="24"/>
        </w:rPr>
        <w:t>kehtestanud</w:t>
      </w:r>
      <w:r w:rsidR="00C51AB1" w:rsidRPr="36D3019D">
        <w:rPr>
          <w:rFonts w:ascii="Times New Roman" w:hAnsi="Times New Roman" w:cs="Times New Roman"/>
          <w:sz w:val="24"/>
          <w:szCs w:val="24"/>
        </w:rPr>
        <w:t xml:space="preserve"> </w:t>
      </w:r>
      <w:r w:rsidRPr="36D3019D">
        <w:rPr>
          <w:rFonts w:ascii="Times New Roman" w:hAnsi="Times New Roman" w:cs="Times New Roman"/>
          <w:sz w:val="24"/>
          <w:szCs w:val="24"/>
        </w:rPr>
        <w:t>teatise</w:t>
      </w:r>
      <w:r>
        <w:rPr>
          <w:rFonts w:ascii="Times New Roman" w:hAnsi="Times New Roman" w:cs="Times New Roman"/>
          <w:sz w:val="24"/>
          <w:szCs w:val="24"/>
        </w:rPr>
        <w:t xml:space="preserve"> </w:t>
      </w:r>
      <w:hyperlink r:id="rId8">
        <w:r w:rsidR="00C51AB1" w:rsidRPr="36D3019D">
          <w:rPr>
            <w:rStyle w:val="Hperlink"/>
            <w:rFonts w:ascii="Times New Roman" w:hAnsi="Times New Roman" w:cs="Times New Roman"/>
            <w:sz w:val="24"/>
            <w:szCs w:val="24"/>
          </w:rPr>
          <w:t>„Taristu kliimakindluse tagamise tehnilised suunised aastateks 2021–2027“</w:t>
        </w:r>
      </w:hyperlink>
      <w:r>
        <w:rPr>
          <w:rStyle w:val="Allmrkuseviide"/>
          <w:rFonts w:ascii="Times New Roman" w:hAnsi="Times New Roman" w:cs="Times New Roman"/>
          <w:color w:val="0563C1" w:themeColor="hyperlink"/>
          <w:sz w:val="24"/>
          <w:szCs w:val="24"/>
          <w:u w:val="single"/>
        </w:rPr>
        <w:footnoteReference w:id="2"/>
      </w:r>
      <w:r w:rsidR="00C51AB1" w:rsidRPr="36D3019D">
        <w:rPr>
          <w:rFonts w:ascii="Times New Roman" w:hAnsi="Times New Roman" w:cs="Times New Roman"/>
          <w:sz w:val="24"/>
          <w:szCs w:val="24"/>
        </w:rPr>
        <w:t>. Kliimakindluse hindamine vastavalt Komisjoni juhendile on kohustuslik Euroopa Liidu vahenditest rahastatavate taristuobjektide puhul vastavalt programmiga sätestatud tingimustele. Positiivne rahastamisotsus on võimalik langetada üksnes nende kliimakindluse hindamise kohustusega taristuobjektide suhtes, mille puhul on kliimakindlus tagatud</w:t>
      </w:r>
      <w:r w:rsidR="002141A6" w:rsidRPr="36D3019D">
        <w:rPr>
          <w:rFonts w:ascii="Times New Roman" w:hAnsi="Times New Roman" w:cs="Times New Roman"/>
          <w:sz w:val="24"/>
          <w:szCs w:val="24"/>
        </w:rPr>
        <w:t xml:space="preserve"> ning see on </w:t>
      </w:r>
      <w:r w:rsidR="00797524" w:rsidRPr="36D3019D">
        <w:rPr>
          <w:rFonts w:ascii="Times New Roman" w:hAnsi="Times New Roman" w:cs="Times New Roman"/>
          <w:sz w:val="24"/>
          <w:szCs w:val="24"/>
        </w:rPr>
        <w:t xml:space="preserve">hinnatud ja </w:t>
      </w:r>
      <w:r w:rsidR="002141A6" w:rsidRPr="36D3019D">
        <w:rPr>
          <w:rFonts w:ascii="Times New Roman" w:hAnsi="Times New Roman" w:cs="Times New Roman"/>
          <w:sz w:val="24"/>
          <w:szCs w:val="24"/>
        </w:rPr>
        <w:t>dokumen</w:t>
      </w:r>
      <w:r w:rsidR="004F0953" w:rsidRPr="36D3019D">
        <w:rPr>
          <w:rFonts w:ascii="Times New Roman" w:hAnsi="Times New Roman" w:cs="Times New Roman"/>
          <w:sz w:val="24"/>
          <w:szCs w:val="24"/>
        </w:rPr>
        <w:t>teeritud vastavalt Euroopa Komis</w:t>
      </w:r>
      <w:r w:rsidR="002141A6" w:rsidRPr="36D3019D">
        <w:rPr>
          <w:rFonts w:ascii="Times New Roman" w:hAnsi="Times New Roman" w:cs="Times New Roman"/>
          <w:sz w:val="24"/>
          <w:szCs w:val="24"/>
        </w:rPr>
        <w:t>joni juhendis antud suunistele.</w:t>
      </w:r>
    </w:p>
    <w:p w14:paraId="21FFA541" w14:textId="740437E7" w:rsidR="00B0720F" w:rsidRDefault="26B3B120" w:rsidP="00C51AB1">
      <w:pPr>
        <w:jc w:val="both"/>
        <w:rPr>
          <w:rFonts w:ascii="Times New Roman" w:hAnsi="Times New Roman" w:cs="Times New Roman"/>
          <w:sz w:val="24"/>
          <w:szCs w:val="24"/>
        </w:rPr>
      </w:pPr>
      <w:r w:rsidRPr="64ACFBC4">
        <w:rPr>
          <w:rFonts w:ascii="Times New Roman" w:hAnsi="Times New Roman" w:cs="Times New Roman"/>
          <w:sz w:val="24"/>
          <w:szCs w:val="24"/>
        </w:rPr>
        <w:t>Taristu k</w:t>
      </w:r>
      <w:r w:rsidR="2A6DDBE9" w:rsidRPr="64ACFBC4">
        <w:rPr>
          <w:rFonts w:ascii="Times New Roman" w:hAnsi="Times New Roman" w:cs="Times New Roman"/>
          <w:sz w:val="24"/>
          <w:szCs w:val="24"/>
        </w:rPr>
        <w:t>liimakindluse hindamine hõlmab nii kliimamuutuste leevendam</w:t>
      </w:r>
      <w:r w:rsidRPr="64ACFBC4">
        <w:rPr>
          <w:rFonts w:ascii="Times New Roman" w:hAnsi="Times New Roman" w:cs="Times New Roman"/>
          <w:sz w:val="24"/>
          <w:szCs w:val="24"/>
        </w:rPr>
        <w:t>ise kui ka kliimamuutuste</w:t>
      </w:r>
      <w:r w:rsidR="009E7379">
        <w:rPr>
          <w:rFonts w:ascii="Times New Roman" w:hAnsi="Times New Roman" w:cs="Times New Roman"/>
          <w:sz w:val="24"/>
          <w:szCs w:val="24"/>
        </w:rPr>
        <w:t>ga kohanemise</w:t>
      </w:r>
      <w:r w:rsidRPr="64ACFBC4">
        <w:rPr>
          <w:rFonts w:ascii="Times New Roman" w:hAnsi="Times New Roman" w:cs="Times New Roman"/>
          <w:sz w:val="24"/>
          <w:szCs w:val="24"/>
        </w:rPr>
        <w:t xml:space="preserve"> mõju analüüsimist</w:t>
      </w:r>
      <w:r w:rsidR="00372F91">
        <w:rPr>
          <w:rFonts w:ascii="Times New Roman" w:hAnsi="Times New Roman" w:cs="Times New Roman"/>
          <w:sz w:val="24"/>
          <w:szCs w:val="24"/>
        </w:rPr>
        <w:t>.</w:t>
      </w:r>
      <w:r w:rsidRPr="64ACFBC4">
        <w:rPr>
          <w:rFonts w:ascii="Times New Roman" w:hAnsi="Times New Roman" w:cs="Times New Roman"/>
          <w:sz w:val="24"/>
          <w:szCs w:val="24"/>
        </w:rPr>
        <w:t xml:space="preserve"> </w:t>
      </w:r>
      <w:r w:rsidR="00B0720F">
        <w:rPr>
          <w:rFonts w:ascii="Times New Roman" w:hAnsi="Times New Roman" w:cs="Times New Roman"/>
          <w:sz w:val="24"/>
          <w:szCs w:val="24"/>
        </w:rPr>
        <w:t>Hindamist viiakse läbi etappide kaupa ning sõltuvalt tegevusalast ja sellega seotud kasvuhoonegaaside (edaspidi KHG) heidetest ning kliimamuutustega kohanemise riskidest võib</w:t>
      </w:r>
      <w:r w:rsidR="00B0720F" w:rsidRPr="00B0720F">
        <w:rPr>
          <w:rFonts w:ascii="Times New Roman" w:hAnsi="Times New Roman" w:cs="Times New Roman"/>
          <w:sz w:val="24"/>
          <w:szCs w:val="24"/>
        </w:rPr>
        <w:t xml:space="preserve"> läbi viidav hindamine </w:t>
      </w:r>
      <w:r w:rsidR="00B0720F">
        <w:rPr>
          <w:rFonts w:ascii="Times New Roman" w:hAnsi="Times New Roman" w:cs="Times New Roman"/>
          <w:sz w:val="24"/>
          <w:szCs w:val="24"/>
        </w:rPr>
        <w:t>piirduda vaid 1.</w:t>
      </w:r>
      <w:r w:rsidR="00B97B52">
        <w:rPr>
          <w:rFonts w:ascii="Times New Roman" w:hAnsi="Times New Roman" w:cs="Times New Roman"/>
          <w:sz w:val="24"/>
          <w:szCs w:val="24"/>
        </w:rPr>
        <w:t xml:space="preserve"> </w:t>
      </w:r>
      <w:r w:rsidR="00B0720F">
        <w:rPr>
          <w:rFonts w:ascii="Times New Roman" w:hAnsi="Times New Roman" w:cs="Times New Roman"/>
          <w:sz w:val="24"/>
          <w:szCs w:val="24"/>
        </w:rPr>
        <w:t>etapiga või siis vajab üksikasjalikku analüüsi, mis viiakse läbi 2.</w:t>
      </w:r>
      <w:r w:rsidR="00B97B52">
        <w:rPr>
          <w:rFonts w:ascii="Times New Roman" w:hAnsi="Times New Roman" w:cs="Times New Roman"/>
          <w:sz w:val="24"/>
          <w:szCs w:val="24"/>
        </w:rPr>
        <w:t xml:space="preserve"> </w:t>
      </w:r>
      <w:r w:rsidR="00B0720F">
        <w:rPr>
          <w:rFonts w:ascii="Times New Roman" w:hAnsi="Times New Roman" w:cs="Times New Roman"/>
          <w:sz w:val="24"/>
          <w:szCs w:val="24"/>
        </w:rPr>
        <w:t xml:space="preserve">etapis </w:t>
      </w:r>
      <w:r w:rsidR="00B0720F" w:rsidRPr="64ACFBC4">
        <w:rPr>
          <w:rFonts w:ascii="Times New Roman" w:hAnsi="Times New Roman" w:cs="Times New Roman"/>
          <w:sz w:val="24"/>
          <w:szCs w:val="24"/>
        </w:rPr>
        <w:t>(vaata joonis 1).</w:t>
      </w:r>
      <w:r w:rsidR="00B0720F">
        <w:rPr>
          <w:rFonts w:ascii="Times New Roman" w:hAnsi="Times New Roman" w:cs="Times New Roman"/>
          <w:sz w:val="24"/>
          <w:szCs w:val="24"/>
        </w:rPr>
        <w:t xml:space="preserve"> </w:t>
      </w:r>
    </w:p>
    <w:p w14:paraId="366AC840" w14:textId="7C53C916" w:rsidR="00C51AB1" w:rsidRDefault="00D42765" w:rsidP="00C51AB1">
      <w:pPr>
        <w:jc w:val="both"/>
        <w:rPr>
          <w:rFonts w:ascii="Times New Roman" w:hAnsi="Times New Roman" w:cs="Times New Roman"/>
          <w:sz w:val="24"/>
          <w:szCs w:val="24"/>
        </w:rPr>
      </w:pPr>
      <w:bookmarkStart w:id="0" w:name="_Hlk105959712"/>
      <w:r>
        <w:rPr>
          <w:rFonts w:ascii="Times New Roman" w:hAnsi="Times New Roman" w:cs="Times New Roman"/>
          <w:sz w:val="24"/>
          <w:szCs w:val="24"/>
        </w:rPr>
        <w:t>J</w:t>
      </w:r>
      <w:r w:rsidR="26B3B120" w:rsidRPr="64ACFBC4">
        <w:rPr>
          <w:rFonts w:ascii="Times New Roman" w:hAnsi="Times New Roman" w:cs="Times New Roman"/>
          <w:sz w:val="24"/>
          <w:szCs w:val="24"/>
        </w:rPr>
        <w:t xml:space="preserve">uhul, kui kliimakindluse hindamisel tuvastatakse </w:t>
      </w:r>
      <w:r w:rsidR="78BD961B" w:rsidRPr="64ACFBC4">
        <w:rPr>
          <w:rFonts w:ascii="Times New Roman" w:hAnsi="Times New Roman" w:cs="Times New Roman"/>
          <w:sz w:val="24"/>
          <w:szCs w:val="24"/>
        </w:rPr>
        <w:t>mitte</w:t>
      </w:r>
      <w:r w:rsidR="26B3B120" w:rsidRPr="64ACFBC4">
        <w:rPr>
          <w:rFonts w:ascii="Times New Roman" w:hAnsi="Times New Roman" w:cs="Times New Roman"/>
          <w:sz w:val="24"/>
          <w:szCs w:val="24"/>
        </w:rPr>
        <w:t>vastavus kliimamuutuste leevendamise eesmärkidega või kliimamuutuste mõjust tingitud riskid, tuleb välja tuua vajalikud leevend</w:t>
      </w:r>
      <w:r w:rsidR="38FF9A56" w:rsidRPr="64ACFBC4">
        <w:rPr>
          <w:rFonts w:ascii="Times New Roman" w:hAnsi="Times New Roman" w:cs="Times New Roman"/>
          <w:sz w:val="24"/>
          <w:szCs w:val="24"/>
        </w:rPr>
        <w:t>u</w:t>
      </w:r>
      <w:r w:rsidR="26B3B120" w:rsidRPr="64ACFBC4">
        <w:rPr>
          <w:rFonts w:ascii="Times New Roman" w:hAnsi="Times New Roman" w:cs="Times New Roman"/>
          <w:sz w:val="24"/>
          <w:szCs w:val="24"/>
        </w:rPr>
        <w:t xml:space="preserve">s- ja kohanemismeetmed, millega tagatakse projekti kooskõla nii </w:t>
      </w:r>
      <w:r w:rsidR="42DB0D95" w:rsidRPr="64ACFBC4">
        <w:rPr>
          <w:rFonts w:ascii="Times New Roman" w:hAnsi="Times New Roman" w:cs="Times New Roman"/>
          <w:sz w:val="24"/>
          <w:szCs w:val="24"/>
        </w:rPr>
        <w:t>kasvuhoonegaaside heite vähendamise</w:t>
      </w:r>
      <w:r w:rsidR="26B3B120" w:rsidRPr="64ACFBC4">
        <w:rPr>
          <w:rFonts w:ascii="Times New Roman" w:hAnsi="Times New Roman" w:cs="Times New Roman"/>
          <w:sz w:val="24"/>
          <w:szCs w:val="24"/>
        </w:rPr>
        <w:t xml:space="preserve"> </w:t>
      </w:r>
      <w:r w:rsidR="0A3BE7E2" w:rsidRPr="64ACFBC4">
        <w:rPr>
          <w:rFonts w:ascii="Times New Roman" w:hAnsi="Times New Roman" w:cs="Times New Roman"/>
          <w:sz w:val="24"/>
          <w:szCs w:val="24"/>
        </w:rPr>
        <w:t xml:space="preserve">või sidumise </w:t>
      </w:r>
      <w:r w:rsidR="26B3B120" w:rsidRPr="64ACFBC4">
        <w:rPr>
          <w:rFonts w:ascii="Times New Roman" w:hAnsi="Times New Roman" w:cs="Times New Roman"/>
          <w:sz w:val="24"/>
          <w:szCs w:val="24"/>
        </w:rPr>
        <w:t xml:space="preserve">eesmärkidega </w:t>
      </w:r>
      <w:r w:rsidR="00495E79">
        <w:rPr>
          <w:rFonts w:ascii="Times New Roman" w:hAnsi="Times New Roman" w:cs="Times New Roman"/>
          <w:sz w:val="24"/>
          <w:szCs w:val="24"/>
        </w:rPr>
        <w:t>kui ka</w:t>
      </w:r>
      <w:r w:rsidR="42DB0D95" w:rsidRPr="64ACFBC4">
        <w:rPr>
          <w:rFonts w:ascii="Times New Roman" w:hAnsi="Times New Roman" w:cs="Times New Roman"/>
          <w:sz w:val="24"/>
          <w:szCs w:val="24"/>
        </w:rPr>
        <w:t xml:space="preserve"> kliimamuutuste mõjuga </w:t>
      </w:r>
      <w:r w:rsidR="26B3B120" w:rsidRPr="64ACFBC4">
        <w:rPr>
          <w:rFonts w:ascii="Times New Roman" w:hAnsi="Times New Roman" w:cs="Times New Roman"/>
          <w:sz w:val="24"/>
          <w:szCs w:val="24"/>
        </w:rPr>
        <w:t>seotud riskide maandamine</w:t>
      </w:r>
      <w:r w:rsidR="42DB0D95" w:rsidRPr="64ACFBC4">
        <w:rPr>
          <w:rFonts w:ascii="Times New Roman" w:hAnsi="Times New Roman" w:cs="Times New Roman"/>
          <w:sz w:val="24"/>
          <w:szCs w:val="24"/>
        </w:rPr>
        <w:t>.</w:t>
      </w:r>
      <w:r w:rsidR="78BD961B" w:rsidRPr="64ACFBC4">
        <w:rPr>
          <w:rFonts w:ascii="Times New Roman" w:hAnsi="Times New Roman" w:cs="Times New Roman"/>
          <w:sz w:val="24"/>
          <w:szCs w:val="24"/>
        </w:rPr>
        <w:t xml:space="preserve"> Need leevendamis</w:t>
      </w:r>
      <w:r w:rsidR="00271EFA">
        <w:rPr>
          <w:rFonts w:ascii="Times New Roman" w:hAnsi="Times New Roman" w:cs="Times New Roman"/>
          <w:sz w:val="24"/>
          <w:szCs w:val="24"/>
        </w:rPr>
        <w:t>- ja kohanemis</w:t>
      </w:r>
      <w:r w:rsidR="78BD961B" w:rsidRPr="64ACFBC4">
        <w:rPr>
          <w:rFonts w:ascii="Times New Roman" w:hAnsi="Times New Roman" w:cs="Times New Roman"/>
          <w:sz w:val="24"/>
          <w:szCs w:val="24"/>
        </w:rPr>
        <w:t xml:space="preserve">meetmed tuleb ka projekti sisse viia ning tagada nende elluviimine. </w:t>
      </w:r>
      <w:bookmarkEnd w:id="0"/>
      <w:r w:rsidR="5091030B" w:rsidRPr="64ACFBC4">
        <w:rPr>
          <w:rFonts w:ascii="Times New Roman" w:hAnsi="Times New Roman" w:cs="Times New Roman"/>
          <w:sz w:val="24"/>
          <w:szCs w:val="24"/>
        </w:rPr>
        <w:t>Kliimakindluse tagamise dokumentatsioon tuleb koostada vastavalt Euroopa Komisjoni juhendi</w:t>
      </w:r>
      <w:r w:rsidR="4F24A64B" w:rsidRPr="64ACFBC4">
        <w:rPr>
          <w:rFonts w:ascii="Times New Roman" w:hAnsi="Times New Roman" w:cs="Times New Roman"/>
          <w:sz w:val="24"/>
          <w:szCs w:val="24"/>
        </w:rPr>
        <w:t>s antud suunistele</w:t>
      </w:r>
      <w:r w:rsidR="5091030B" w:rsidRPr="64ACFBC4">
        <w:rPr>
          <w:rFonts w:ascii="Times New Roman" w:hAnsi="Times New Roman" w:cs="Times New Roman"/>
          <w:sz w:val="24"/>
          <w:szCs w:val="24"/>
        </w:rPr>
        <w:t xml:space="preserve"> (</w:t>
      </w:r>
      <w:r w:rsidR="00CB031C">
        <w:rPr>
          <w:rFonts w:ascii="Times New Roman" w:hAnsi="Times New Roman" w:cs="Times New Roman"/>
          <w:sz w:val="24"/>
          <w:szCs w:val="24"/>
        </w:rPr>
        <w:t>lisa B</w:t>
      </w:r>
      <w:r w:rsidR="5091030B" w:rsidRPr="64ACFBC4">
        <w:rPr>
          <w:rFonts w:ascii="Times New Roman" w:hAnsi="Times New Roman" w:cs="Times New Roman"/>
          <w:sz w:val="24"/>
          <w:szCs w:val="24"/>
        </w:rPr>
        <w:t xml:space="preserve"> </w:t>
      </w:r>
      <w:r w:rsidR="00CB031C">
        <w:rPr>
          <w:rFonts w:ascii="Times New Roman" w:hAnsi="Times New Roman" w:cs="Times New Roman"/>
          <w:sz w:val="24"/>
          <w:szCs w:val="24"/>
        </w:rPr>
        <w:t>pun</w:t>
      </w:r>
      <w:r w:rsidR="009E65A1">
        <w:rPr>
          <w:rFonts w:ascii="Times New Roman" w:hAnsi="Times New Roman" w:cs="Times New Roman"/>
          <w:sz w:val="24"/>
          <w:szCs w:val="24"/>
        </w:rPr>
        <w:t>k</w:t>
      </w:r>
      <w:r w:rsidR="00CB031C">
        <w:rPr>
          <w:rFonts w:ascii="Times New Roman" w:hAnsi="Times New Roman" w:cs="Times New Roman"/>
          <w:sz w:val="24"/>
          <w:szCs w:val="24"/>
        </w:rPr>
        <w:t>tid B</w:t>
      </w:r>
      <w:r w:rsidR="00342286">
        <w:rPr>
          <w:rFonts w:ascii="Times New Roman" w:hAnsi="Times New Roman" w:cs="Times New Roman"/>
          <w:sz w:val="24"/>
          <w:szCs w:val="24"/>
        </w:rPr>
        <w:t>.</w:t>
      </w:r>
      <w:r w:rsidR="00CB031C">
        <w:rPr>
          <w:rFonts w:ascii="Times New Roman" w:hAnsi="Times New Roman" w:cs="Times New Roman"/>
          <w:sz w:val="24"/>
          <w:szCs w:val="24"/>
        </w:rPr>
        <w:t xml:space="preserve">1. ja </w:t>
      </w:r>
      <w:r w:rsidR="5091030B" w:rsidRPr="64ACFBC4">
        <w:rPr>
          <w:rFonts w:ascii="Times New Roman" w:hAnsi="Times New Roman" w:cs="Times New Roman"/>
          <w:sz w:val="24"/>
          <w:szCs w:val="24"/>
        </w:rPr>
        <w:t>B.2.)</w:t>
      </w:r>
    </w:p>
    <w:p w14:paraId="238DA4AA" w14:textId="6B54FA18" w:rsidR="00315B26" w:rsidRDefault="0C2C1919" w:rsidP="00C51AB1">
      <w:pPr>
        <w:jc w:val="both"/>
        <w:rPr>
          <w:rFonts w:ascii="Times New Roman" w:hAnsi="Times New Roman" w:cs="Times New Roman"/>
          <w:sz w:val="24"/>
          <w:szCs w:val="24"/>
        </w:rPr>
      </w:pPr>
      <w:r w:rsidRPr="64ACFBC4">
        <w:rPr>
          <w:rFonts w:ascii="Times New Roman" w:hAnsi="Times New Roman" w:cs="Times New Roman"/>
          <w:sz w:val="24"/>
          <w:szCs w:val="24"/>
        </w:rPr>
        <w:t xml:space="preserve">Euroopa Komisjoni kliimakindluse juhendis on </w:t>
      </w:r>
      <w:r w:rsidRPr="00CB031C">
        <w:rPr>
          <w:rFonts w:ascii="Times New Roman" w:hAnsi="Times New Roman" w:cs="Times New Roman"/>
          <w:b/>
          <w:bCs/>
          <w:sz w:val="24"/>
          <w:szCs w:val="24"/>
        </w:rPr>
        <w:t>taristu</w:t>
      </w:r>
      <w:r w:rsidRPr="64ACFBC4">
        <w:rPr>
          <w:rFonts w:ascii="Times New Roman" w:hAnsi="Times New Roman" w:cs="Times New Roman"/>
          <w:sz w:val="24"/>
          <w:szCs w:val="24"/>
        </w:rPr>
        <w:t xml:space="preserve"> käsitlus lai, hõlmates nii hooneid, võrgutaristut kui ka mitmesuguseid ehitatud süsteeme ja varasid</w:t>
      </w:r>
      <w:r w:rsidR="00315B26">
        <w:rPr>
          <w:rFonts w:ascii="Times New Roman" w:hAnsi="Times New Roman" w:cs="Times New Roman"/>
          <w:sz w:val="24"/>
          <w:szCs w:val="24"/>
        </w:rPr>
        <w:t>:</w:t>
      </w:r>
    </w:p>
    <w:p w14:paraId="74DF10E2" w14:textId="19C93085"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t>hooned (alates kodudest kuni koolide ja tööstusrajatisteni), mis on kõige levinum taristu</w:t>
      </w:r>
      <w:r w:rsidR="00342286">
        <w:rPr>
          <w:rFonts w:ascii="Times New Roman" w:hAnsi="Times New Roman" w:cs="Times New Roman"/>
          <w:sz w:val="24"/>
          <w:szCs w:val="24"/>
        </w:rPr>
        <w:t xml:space="preserve"> </w:t>
      </w:r>
      <w:r w:rsidRPr="00315B26">
        <w:rPr>
          <w:rFonts w:ascii="Times New Roman" w:hAnsi="Times New Roman" w:cs="Times New Roman"/>
          <w:sz w:val="24"/>
          <w:szCs w:val="24"/>
        </w:rPr>
        <w:t>liik ja inimasustuse alus;</w:t>
      </w:r>
    </w:p>
    <w:p w14:paraId="12EF96EF" w14:textId="77777777"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t>looduspõhised taristud, nagu haljaskatused, -müürid ja -alad ning äravoolusüsteemid;</w:t>
      </w:r>
    </w:p>
    <w:p w14:paraId="28B65878" w14:textId="6170AD96"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lastRenderedPageBreak/>
        <w:t>tänapäeva majanduse ja ühiskonna toimimiseks hädavajalik võrgutaristu, eelkõige energiataristu (nt elektrivõrgud, elektrijaamad, torujuhtmed), transporditaristu (põhivarad, nagu maanteed, raudteed, sadamad, lennujaamad ja siseveetranspordi taristu), info- ja kommunikatsioonitehnoloogia taristu (nt mobiilsidevõrgud, andmekaablid, andmekeskused) ning veetaristu (nt veetorustikud, veehoidlad, reoveepuhastusrajatised);</w:t>
      </w:r>
    </w:p>
    <w:p w14:paraId="0EFFACC8" w14:textId="77777777"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t>ettevõtete ja kodumajapidamiste tekitatud jäätmete käitlemise süsteemid (kogumispunktid, sorteerimis- ja ringlussevõturajatised, jäätmepõletusjaamad ja prügilad);</w:t>
      </w:r>
    </w:p>
    <w:p w14:paraId="209E6D85" w14:textId="77777777"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t>muud materiaalsed varad mitmesugustes poliitikavaldkondades, sealhulgas kommunikatsiooni, hädaabiteenuste, energeetika, rahanduse, toidu, valitsemise, tervishoiu, hariduse ja koolituse, teadusuuringute, kodanikukaitse, transpordi, jäätmete ja vee valdkonnas;</w:t>
      </w:r>
    </w:p>
    <w:p w14:paraId="3380682B" w14:textId="6142BC70" w:rsidR="00315B26" w:rsidRPr="00315B26" w:rsidRDefault="00315B26" w:rsidP="00315B26">
      <w:pPr>
        <w:pStyle w:val="Loendilik"/>
        <w:numPr>
          <w:ilvl w:val="0"/>
          <w:numId w:val="7"/>
        </w:numPr>
        <w:jc w:val="both"/>
        <w:rPr>
          <w:rFonts w:ascii="Times New Roman" w:hAnsi="Times New Roman" w:cs="Times New Roman"/>
          <w:sz w:val="24"/>
          <w:szCs w:val="24"/>
        </w:rPr>
      </w:pPr>
      <w:r w:rsidRPr="00315B26">
        <w:rPr>
          <w:rFonts w:ascii="Times New Roman" w:hAnsi="Times New Roman" w:cs="Times New Roman"/>
          <w:sz w:val="24"/>
          <w:szCs w:val="24"/>
        </w:rPr>
        <w:t>konkreetseid fonde käsitlevates õigusaktides võidakse ette näha ka muid rahastamiskõlblikke taristuliike.</w:t>
      </w:r>
    </w:p>
    <w:p w14:paraId="50B31185" w14:textId="192A496E" w:rsidR="00B0720F" w:rsidRDefault="00B0720F" w:rsidP="00C51AB1">
      <w:pPr>
        <w:jc w:val="both"/>
        <w:rPr>
          <w:rFonts w:ascii="Times New Roman" w:hAnsi="Times New Roman" w:cs="Times New Roman"/>
          <w:sz w:val="24"/>
          <w:szCs w:val="24"/>
        </w:rPr>
      </w:pPr>
      <w:r>
        <w:rPr>
          <w:rFonts w:ascii="Times New Roman" w:hAnsi="Times New Roman" w:cs="Times New Roman"/>
          <w:sz w:val="24"/>
          <w:szCs w:val="24"/>
        </w:rPr>
        <w:t xml:space="preserve">Taristu hõlmab nii uut taristut kui ka olemasoleva taristu uuendamist, ajakohastamist ja laiendamist. </w:t>
      </w:r>
    </w:p>
    <w:p w14:paraId="0DF296B2" w14:textId="793218D6" w:rsidR="1FC77272" w:rsidRDefault="0C2C1919" w:rsidP="1FC77272">
      <w:pPr>
        <w:jc w:val="both"/>
        <w:rPr>
          <w:rFonts w:ascii="Times New Roman" w:hAnsi="Times New Roman" w:cs="Times New Roman"/>
          <w:sz w:val="24"/>
          <w:szCs w:val="24"/>
        </w:rPr>
      </w:pPr>
      <w:r w:rsidRPr="64ACFBC4">
        <w:rPr>
          <w:rFonts w:ascii="Times New Roman" w:hAnsi="Times New Roman" w:cs="Times New Roman"/>
          <w:sz w:val="24"/>
          <w:szCs w:val="24"/>
        </w:rPr>
        <w:t xml:space="preserve">Projekti elluviija peab kaasama projekti korraldamisse kliimakindluse tagamiseks vajalike teadmistega </w:t>
      </w:r>
      <w:r w:rsidR="00B0720F">
        <w:rPr>
          <w:rFonts w:ascii="Times New Roman" w:hAnsi="Times New Roman" w:cs="Times New Roman"/>
          <w:sz w:val="24"/>
          <w:szCs w:val="24"/>
        </w:rPr>
        <w:t xml:space="preserve">ja pädevusega </w:t>
      </w:r>
      <w:r w:rsidRPr="64ACFBC4">
        <w:rPr>
          <w:rFonts w:ascii="Times New Roman" w:hAnsi="Times New Roman" w:cs="Times New Roman"/>
          <w:sz w:val="24"/>
          <w:szCs w:val="24"/>
        </w:rPr>
        <w:t>isiku</w:t>
      </w:r>
      <w:r w:rsidR="00394122">
        <w:rPr>
          <w:rFonts w:ascii="Times New Roman" w:hAnsi="Times New Roman" w:cs="Times New Roman"/>
          <w:sz w:val="24"/>
          <w:szCs w:val="24"/>
        </w:rPr>
        <w:t>(</w:t>
      </w:r>
      <w:r w:rsidRPr="64ACFBC4">
        <w:rPr>
          <w:rFonts w:ascii="Times New Roman" w:hAnsi="Times New Roman" w:cs="Times New Roman"/>
          <w:sz w:val="24"/>
          <w:szCs w:val="24"/>
        </w:rPr>
        <w:t>d</w:t>
      </w:r>
      <w:r w:rsidR="00394122">
        <w:rPr>
          <w:rFonts w:ascii="Times New Roman" w:hAnsi="Times New Roman" w:cs="Times New Roman"/>
          <w:sz w:val="24"/>
          <w:szCs w:val="24"/>
        </w:rPr>
        <w:t>)</w:t>
      </w:r>
      <w:r w:rsidR="00AC2669">
        <w:rPr>
          <w:rStyle w:val="Allmrkuseviide"/>
          <w:rFonts w:ascii="Times New Roman" w:hAnsi="Times New Roman" w:cs="Times New Roman"/>
          <w:sz w:val="24"/>
          <w:szCs w:val="24"/>
        </w:rPr>
        <w:footnoteReference w:id="3"/>
      </w:r>
      <w:r w:rsidRPr="64ACFBC4">
        <w:rPr>
          <w:rFonts w:ascii="Times New Roman" w:hAnsi="Times New Roman" w:cs="Times New Roman"/>
          <w:sz w:val="24"/>
          <w:szCs w:val="24"/>
        </w:rPr>
        <w:t xml:space="preserve"> ja koordineerima oma tegevuse projekti arendamiseks vajaliku muu tegevusega, näiteks keskkonnamõju strateegilise hindamise (KSH) ja/või keskkonnamõju hindamise (KMH) menetlustega. Juhul, kui projekti puhul on vajalik teostada kliimakindluse hindamine ning koostada kliimakindluse tagamise dokumentatsioon, tuleks kaaluda juba projekti arendamise varases etapis eraldi kliimakindluse tagamise </w:t>
      </w:r>
      <w:r w:rsidR="00394122">
        <w:rPr>
          <w:rFonts w:ascii="Times New Roman" w:hAnsi="Times New Roman" w:cs="Times New Roman"/>
          <w:sz w:val="24"/>
          <w:szCs w:val="24"/>
        </w:rPr>
        <w:t>eest vastutava isiku</w:t>
      </w:r>
      <w:r w:rsidRPr="64ACFBC4">
        <w:rPr>
          <w:rFonts w:ascii="Times New Roman" w:hAnsi="Times New Roman" w:cs="Times New Roman"/>
          <w:sz w:val="24"/>
          <w:szCs w:val="24"/>
        </w:rPr>
        <w:t xml:space="preserve"> nimetamist.</w:t>
      </w:r>
      <w:r w:rsidR="00DD38B8">
        <w:rPr>
          <w:rFonts w:ascii="Times New Roman" w:hAnsi="Times New Roman" w:cs="Times New Roman"/>
          <w:sz w:val="24"/>
          <w:szCs w:val="24"/>
        </w:rPr>
        <w:t xml:space="preserve"> </w:t>
      </w:r>
    </w:p>
    <w:p w14:paraId="0CA81496" w14:textId="247B5FFA" w:rsidR="64ACFBC4" w:rsidRDefault="64ACFBC4" w:rsidP="64ACFBC4">
      <w:pPr>
        <w:jc w:val="both"/>
        <w:rPr>
          <w:rFonts w:ascii="Times New Roman" w:eastAsia="Times New Roman" w:hAnsi="Times New Roman" w:cs="Times New Roman"/>
          <w:sz w:val="24"/>
          <w:szCs w:val="24"/>
        </w:rPr>
      </w:pPr>
      <w:r w:rsidRPr="64ACFBC4">
        <w:rPr>
          <w:rFonts w:ascii="Times New Roman" w:eastAsia="Times New Roman" w:hAnsi="Times New Roman" w:cs="Times New Roman"/>
          <w:sz w:val="24"/>
          <w:szCs w:val="24"/>
        </w:rPr>
        <w:t xml:space="preserve">Kliimamuutused ja kliimakindluse hindamine on kompleksne teema, millega käib kaasas ka teatud määramatus. </w:t>
      </w:r>
      <w:r w:rsidR="00695D61">
        <w:rPr>
          <w:rFonts w:ascii="Times New Roman" w:eastAsia="Times New Roman" w:hAnsi="Times New Roman" w:cs="Times New Roman"/>
          <w:sz w:val="24"/>
          <w:szCs w:val="24"/>
        </w:rPr>
        <w:t xml:space="preserve">Selle vähendamiseks on vajalik hindamisel selgitada metoodilisi valikuid ning kasutama peaks konservatiivseid eelduseid ja väärtuseid. Vaatamata ebakindlusele tuleb </w:t>
      </w:r>
      <w:r w:rsidRPr="64ACFBC4">
        <w:rPr>
          <w:rFonts w:ascii="Times New Roman" w:eastAsia="Times New Roman" w:hAnsi="Times New Roman" w:cs="Times New Roman"/>
          <w:sz w:val="24"/>
          <w:szCs w:val="24"/>
        </w:rPr>
        <w:t>analüüsi</w:t>
      </w:r>
      <w:r w:rsidR="00695D61">
        <w:rPr>
          <w:rFonts w:ascii="Times New Roman" w:eastAsia="Times New Roman" w:hAnsi="Times New Roman" w:cs="Times New Roman"/>
          <w:sz w:val="24"/>
          <w:szCs w:val="24"/>
        </w:rPr>
        <w:t>da</w:t>
      </w:r>
      <w:r w:rsidRPr="64ACFBC4">
        <w:rPr>
          <w:rFonts w:ascii="Times New Roman" w:eastAsia="Times New Roman" w:hAnsi="Times New Roman" w:cs="Times New Roman"/>
          <w:sz w:val="24"/>
          <w:szCs w:val="24"/>
        </w:rPr>
        <w:t xml:space="preserve"> </w:t>
      </w:r>
      <w:r w:rsidR="00695D61">
        <w:rPr>
          <w:rFonts w:ascii="Times New Roman" w:eastAsia="Times New Roman" w:hAnsi="Times New Roman" w:cs="Times New Roman"/>
          <w:sz w:val="24"/>
          <w:szCs w:val="24"/>
        </w:rPr>
        <w:t xml:space="preserve">nii </w:t>
      </w:r>
      <w:r w:rsidRPr="64ACFBC4">
        <w:rPr>
          <w:rFonts w:ascii="Times New Roman" w:eastAsia="Times New Roman" w:hAnsi="Times New Roman" w:cs="Times New Roman"/>
          <w:sz w:val="24"/>
          <w:szCs w:val="24"/>
        </w:rPr>
        <w:t>otsest ja kaudset mõju, mida kavandatav projekt võib avaldada peamiste</w:t>
      </w:r>
      <w:r w:rsidR="00156CBE">
        <w:rPr>
          <w:rFonts w:ascii="Times New Roman" w:eastAsia="Times New Roman" w:hAnsi="Times New Roman" w:cs="Times New Roman"/>
          <w:sz w:val="24"/>
          <w:szCs w:val="24"/>
        </w:rPr>
        <w:t>le</w:t>
      </w:r>
      <w:r w:rsidRPr="64ACFBC4">
        <w:rPr>
          <w:rFonts w:ascii="Times New Roman" w:eastAsia="Times New Roman" w:hAnsi="Times New Roman" w:cs="Times New Roman"/>
          <w:sz w:val="24"/>
          <w:szCs w:val="24"/>
        </w:rPr>
        <w:t xml:space="preserve"> kliimamuutustega seotud probleemidele.</w:t>
      </w:r>
      <w:r w:rsidR="0088765E">
        <w:rPr>
          <w:rFonts w:ascii="Times New Roman" w:eastAsia="Times New Roman" w:hAnsi="Times New Roman" w:cs="Times New Roman"/>
          <w:sz w:val="24"/>
          <w:szCs w:val="24"/>
        </w:rPr>
        <w:t xml:space="preserve"> </w:t>
      </w:r>
    </w:p>
    <w:p w14:paraId="2C1DC56D" w14:textId="7E687CB1" w:rsidR="00B6257E" w:rsidRDefault="00B6257E" w:rsidP="64ACFBC4">
      <w:pPr>
        <w:jc w:val="both"/>
        <w:rPr>
          <w:rFonts w:ascii="Times New Roman" w:eastAsia="Times New Roman" w:hAnsi="Times New Roman" w:cs="Times New Roman"/>
          <w:sz w:val="24"/>
          <w:szCs w:val="24"/>
        </w:rPr>
      </w:pPr>
      <w:r w:rsidRPr="00B6257E">
        <w:rPr>
          <w:rFonts w:ascii="Times New Roman" w:eastAsia="Times New Roman" w:hAnsi="Times New Roman" w:cs="Times New Roman"/>
          <w:sz w:val="24"/>
          <w:szCs w:val="24"/>
        </w:rPr>
        <w:t xml:space="preserve">Alates kuupäevast, mil Euroopa Komisjon </w:t>
      </w:r>
      <w:r>
        <w:rPr>
          <w:rFonts w:ascii="Times New Roman" w:eastAsia="Times New Roman" w:hAnsi="Times New Roman" w:cs="Times New Roman"/>
          <w:sz w:val="24"/>
          <w:szCs w:val="24"/>
        </w:rPr>
        <w:t>avalikustas tehnilised</w:t>
      </w:r>
      <w:r w:rsidRPr="00B6257E">
        <w:rPr>
          <w:rFonts w:ascii="Times New Roman" w:eastAsia="Times New Roman" w:hAnsi="Times New Roman" w:cs="Times New Roman"/>
          <w:sz w:val="24"/>
          <w:szCs w:val="24"/>
        </w:rPr>
        <w:t xml:space="preserve"> suunised </w:t>
      </w:r>
      <w:r>
        <w:rPr>
          <w:rFonts w:ascii="Times New Roman" w:eastAsia="Times New Roman" w:hAnsi="Times New Roman" w:cs="Times New Roman"/>
          <w:sz w:val="24"/>
          <w:szCs w:val="24"/>
        </w:rPr>
        <w:t>kliimakindluse tagamiseks, s.o. 16.09.2021</w:t>
      </w:r>
      <w:r w:rsidRPr="00B6257E">
        <w:rPr>
          <w:rFonts w:ascii="Times New Roman" w:eastAsia="Times New Roman" w:hAnsi="Times New Roman" w:cs="Times New Roman"/>
          <w:sz w:val="24"/>
          <w:szCs w:val="24"/>
        </w:rPr>
        <w:t xml:space="preserve">, tuleks neid aastate 2021–2027 taristuprojektide ettevalmistamisel ja kliimakindluse tagamisel arvesse võtta. Selliste taristuprojektide puhul, mille keskkonnamõju hindamine (KMH) on lõpule viidud ja teostusluba on saadud hiljemalt 2021. aasta lõpuks ning millega seotud ehitustöid alustatakse hiljemalt 2022. aastal, soovitatakse tungivalt viia läbi kliimakindluse tagamise protsess vastavalt </w:t>
      </w:r>
      <w:r>
        <w:rPr>
          <w:rFonts w:ascii="Times New Roman" w:eastAsia="Times New Roman" w:hAnsi="Times New Roman" w:cs="Times New Roman"/>
          <w:sz w:val="24"/>
          <w:szCs w:val="24"/>
        </w:rPr>
        <w:t>tehnilistele</w:t>
      </w:r>
      <w:r w:rsidRPr="00B6257E">
        <w:rPr>
          <w:rFonts w:ascii="Times New Roman" w:eastAsia="Times New Roman" w:hAnsi="Times New Roman" w:cs="Times New Roman"/>
          <w:sz w:val="24"/>
          <w:szCs w:val="24"/>
        </w:rPr>
        <w:t xml:space="preserve"> suunistele.</w:t>
      </w:r>
    </w:p>
    <w:p w14:paraId="613F2CAD" w14:textId="4387D464" w:rsidR="64ACFBC4" w:rsidRDefault="00CC614B" w:rsidP="64ACFBC4">
      <w:pPr>
        <w:jc w:val="both"/>
        <w:rPr>
          <w:rFonts w:ascii="Times New Roman" w:hAnsi="Times New Roman" w:cs="Times New Roman"/>
          <w:sz w:val="24"/>
          <w:szCs w:val="24"/>
        </w:rPr>
      </w:pPr>
      <w:r>
        <w:rPr>
          <w:noProof/>
          <w:lang w:eastAsia="et-EE"/>
        </w:rPr>
        <w:lastRenderedPageBreak/>
        <w:drawing>
          <wp:inline distT="0" distB="0" distL="0" distR="0" wp14:anchorId="4CEBD453" wp14:editId="0E3D3F62">
            <wp:extent cx="5737860" cy="7172325"/>
            <wp:effectExtent l="0" t="0" r="0" b="0"/>
            <wp:docPr id="1556611625" name="Pilt 155661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37860" cy="7172325"/>
                    </a:xfrm>
                    <a:prstGeom prst="rect">
                      <a:avLst/>
                    </a:prstGeom>
                  </pic:spPr>
                </pic:pic>
              </a:graphicData>
            </a:graphic>
          </wp:inline>
        </w:drawing>
      </w:r>
    </w:p>
    <w:p w14:paraId="331D1F5E" w14:textId="25F2C959" w:rsidR="1FC77272" w:rsidRDefault="1FC77272" w:rsidP="1FC77272">
      <w:pPr>
        <w:jc w:val="both"/>
      </w:pPr>
    </w:p>
    <w:p w14:paraId="73756442" w14:textId="0966364E" w:rsidR="1FC77272" w:rsidRDefault="1FC77272" w:rsidP="1FC77272">
      <w:pPr>
        <w:jc w:val="both"/>
        <w:rPr>
          <w:rFonts w:ascii="Times New Roman" w:hAnsi="Times New Roman" w:cs="Times New Roman"/>
          <w:i/>
          <w:iCs/>
          <w:sz w:val="24"/>
          <w:szCs w:val="24"/>
        </w:rPr>
      </w:pPr>
      <w:r w:rsidRPr="1FC77272">
        <w:rPr>
          <w:rFonts w:ascii="Times New Roman" w:hAnsi="Times New Roman" w:cs="Times New Roman"/>
          <w:i/>
          <w:iCs/>
          <w:sz w:val="24"/>
          <w:szCs w:val="24"/>
        </w:rPr>
        <w:t>Joonis 1</w:t>
      </w:r>
      <w:r w:rsidRPr="001A74CC">
        <w:rPr>
          <w:rFonts w:ascii="Times New Roman" w:hAnsi="Times New Roman" w:cs="Times New Roman"/>
          <w:sz w:val="24"/>
          <w:szCs w:val="24"/>
        </w:rPr>
        <w:t>. Kliimakindluse hindamise ja kliimakindluse tagamise protsess</w:t>
      </w:r>
      <w:r w:rsidR="00695D61" w:rsidRPr="001A74CC">
        <w:rPr>
          <w:rFonts w:ascii="Times New Roman" w:hAnsi="Times New Roman" w:cs="Times New Roman"/>
          <w:sz w:val="24"/>
          <w:szCs w:val="24"/>
        </w:rPr>
        <w:t xml:space="preserve"> kirjeldatuna Euroopa Komisjoni </w:t>
      </w:r>
      <w:r w:rsidR="00DE3FDC" w:rsidRPr="001A74CC">
        <w:rPr>
          <w:rFonts w:ascii="Times New Roman" w:hAnsi="Times New Roman" w:cs="Times New Roman"/>
          <w:sz w:val="24"/>
          <w:szCs w:val="24"/>
        </w:rPr>
        <w:t xml:space="preserve">taristu kliimakindluse tagamise </w:t>
      </w:r>
      <w:r w:rsidR="00695D61" w:rsidRPr="001A74CC">
        <w:rPr>
          <w:rFonts w:ascii="Times New Roman" w:hAnsi="Times New Roman" w:cs="Times New Roman"/>
          <w:sz w:val="24"/>
          <w:szCs w:val="24"/>
        </w:rPr>
        <w:t>tehniliste suuniste kohaselt.</w:t>
      </w:r>
      <w:r w:rsidR="00695D61">
        <w:rPr>
          <w:rFonts w:ascii="Times New Roman" w:hAnsi="Times New Roman" w:cs="Times New Roman"/>
          <w:i/>
          <w:iCs/>
          <w:sz w:val="24"/>
          <w:szCs w:val="24"/>
        </w:rPr>
        <w:t xml:space="preserve"> </w:t>
      </w:r>
    </w:p>
    <w:p w14:paraId="0E4A40CF" w14:textId="423FD501" w:rsidR="1FC77272" w:rsidRDefault="1FC77272" w:rsidP="1FC77272">
      <w:pPr>
        <w:jc w:val="both"/>
        <w:rPr>
          <w:rFonts w:ascii="Times New Roman" w:hAnsi="Times New Roman" w:cs="Times New Roman"/>
          <w:sz w:val="24"/>
          <w:szCs w:val="24"/>
        </w:rPr>
      </w:pPr>
    </w:p>
    <w:p w14:paraId="45B09264" w14:textId="0AA276B5" w:rsidR="64ACFBC4" w:rsidRDefault="64ACFBC4">
      <w:r>
        <w:br w:type="page"/>
      </w:r>
    </w:p>
    <w:p w14:paraId="14455656" w14:textId="460D6207" w:rsidR="00C22DBE" w:rsidRPr="00DE3FDC" w:rsidRDefault="00C22DBE" w:rsidP="00DE3FDC">
      <w:pPr>
        <w:pStyle w:val="Pealkiri1"/>
      </w:pPr>
      <w:r w:rsidRPr="00DE3FDC">
        <w:lastRenderedPageBreak/>
        <w:t>Kliimamuutuste leevendamine</w:t>
      </w:r>
      <w:r w:rsidR="002521D2" w:rsidRPr="00DE3FDC">
        <w:t xml:space="preserve"> (Euroopa Komisjoni </w:t>
      </w:r>
      <w:r w:rsidR="000F11AF" w:rsidRPr="00DE3FDC">
        <w:t>tehniliste suuniste</w:t>
      </w:r>
      <w:r w:rsidR="002521D2" w:rsidRPr="00DE3FDC">
        <w:t xml:space="preserve"> p</w:t>
      </w:r>
      <w:r w:rsidR="00DE3FDC">
        <w:t>ea</w:t>
      </w:r>
      <w:r w:rsidR="002521D2" w:rsidRPr="00DE3FDC">
        <w:t>t</w:t>
      </w:r>
      <w:r w:rsidR="00DE3FDC">
        <w:t>ük</w:t>
      </w:r>
      <w:r w:rsidR="002521D2" w:rsidRPr="00DE3FDC">
        <w:t>k 3.2.)</w:t>
      </w:r>
    </w:p>
    <w:p w14:paraId="5195F57F" w14:textId="1D6E7BFE" w:rsidR="00C22DBE" w:rsidRDefault="449B42AA" w:rsidP="00C51AB1">
      <w:pPr>
        <w:jc w:val="both"/>
        <w:rPr>
          <w:rFonts w:ascii="Times New Roman" w:hAnsi="Times New Roman" w:cs="Times New Roman"/>
          <w:sz w:val="24"/>
          <w:szCs w:val="24"/>
        </w:rPr>
      </w:pPr>
      <w:r w:rsidRPr="64ACFBC4">
        <w:rPr>
          <w:rFonts w:ascii="Times New Roman" w:hAnsi="Times New Roman" w:cs="Times New Roman"/>
          <w:sz w:val="24"/>
          <w:szCs w:val="24"/>
        </w:rPr>
        <w:t>Kliimamuutuste leevendamine hõlmab endas tegevusi, mis aitavad kaasa kasvuhoonegaaside (KHG) heite vähendamisele ja sü</w:t>
      </w:r>
      <w:r w:rsidR="38FF9A56" w:rsidRPr="64ACFBC4">
        <w:rPr>
          <w:rFonts w:ascii="Times New Roman" w:hAnsi="Times New Roman" w:cs="Times New Roman"/>
          <w:sz w:val="24"/>
          <w:szCs w:val="24"/>
        </w:rPr>
        <w:t xml:space="preserve">siniku sidumise suurendamisele. </w:t>
      </w:r>
      <w:r w:rsidRPr="64ACFBC4">
        <w:rPr>
          <w:rFonts w:ascii="Times New Roman" w:hAnsi="Times New Roman" w:cs="Times New Roman"/>
          <w:sz w:val="24"/>
          <w:szCs w:val="24"/>
        </w:rPr>
        <w:t>Projektiga eeldatavalt tekitatavat KHG heidet tuleks hinnata juba planeerimis- ja kavandamisetapis, kuna seal tehtud valikud võivad mõjutada koguheidet kogu projekti eluea jooksul alates ehitamisest ja käitamisest kuni kõrvaldamiseni.</w:t>
      </w:r>
    </w:p>
    <w:p w14:paraId="76A4B2A2" w14:textId="43325FE7" w:rsidR="00372F91" w:rsidRDefault="00372F91" w:rsidP="00C51AB1">
      <w:pPr>
        <w:jc w:val="both"/>
        <w:rPr>
          <w:rFonts w:ascii="Times New Roman" w:hAnsi="Times New Roman" w:cs="Times New Roman"/>
          <w:sz w:val="24"/>
          <w:szCs w:val="24"/>
        </w:rPr>
      </w:pPr>
      <w:r w:rsidRPr="00372F91">
        <w:rPr>
          <w:rFonts w:ascii="Times New Roman" w:hAnsi="Times New Roman" w:cs="Times New Roman"/>
          <w:sz w:val="24"/>
          <w:szCs w:val="24"/>
        </w:rPr>
        <w:t>Euroopa Komisjoni tehniliste suuniste järgi jagunevad taristuprojektid kliimamuutuste leeven</w:t>
      </w:r>
      <w:r w:rsidR="00C767D9">
        <w:rPr>
          <w:rFonts w:ascii="Times New Roman" w:hAnsi="Times New Roman" w:cs="Times New Roman"/>
          <w:sz w:val="24"/>
          <w:szCs w:val="24"/>
        </w:rPr>
        <w:t>damise osas kahte kategooriasse</w:t>
      </w:r>
      <w:r w:rsidRPr="00372F91">
        <w:rPr>
          <w:rFonts w:ascii="Times New Roman" w:hAnsi="Times New Roman" w:cs="Times New Roman"/>
          <w:sz w:val="24"/>
          <w:szCs w:val="24"/>
        </w:rPr>
        <w:t xml:space="preserve">:1) need, mille puhul ei ole </w:t>
      </w:r>
      <w:r w:rsidR="008F7A7A">
        <w:rPr>
          <w:rFonts w:ascii="Times New Roman" w:hAnsi="Times New Roman" w:cs="Times New Roman"/>
          <w:sz w:val="24"/>
          <w:szCs w:val="24"/>
        </w:rPr>
        <w:t>KHG</w:t>
      </w:r>
      <w:r w:rsidRPr="00372F91">
        <w:rPr>
          <w:rFonts w:ascii="Times New Roman" w:hAnsi="Times New Roman" w:cs="Times New Roman"/>
          <w:sz w:val="24"/>
          <w:szCs w:val="24"/>
        </w:rPr>
        <w:t xml:space="preserve"> jalajälje arvutamine üldjuhul nõutav ja 2) need, mille puhul on </w:t>
      </w:r>
      <w:r w:rsidR="008F7A7A">
        <w:rPr>
          <w:rFonts w:ascii="Times New Roman" w:hAnsi="Times New Roman" w:cs="Times New Roman"/>
          <w:sz w:val="24"/>
          <w:szCs w:val="24"/>
        </w:rPr>
        <w:t>süsiniku</w:t>
      </w:r>
      <w:r w:rsidRPr="00372F91">
        <w:rPr>
          <w:rFonts w:ascii="Times New Roman" w:hAnsi="Times New Roman" w:cs="Times New Roman"/>
          <w:sz w:val="24"/>
          <w:szCs w:val="24"/>
        </w:rPr>
        <w:t xml:space="preserve"> jalajälje hindamine üldjuhul nõutav. Samas võib ootus </w:t>
      </w:r>
      <w:r w:rsidR="004E2D0B">
        <w:rPr>
          <w:rFonts w:ascii="Times New Roman" w:hAnsi="Times New Roman" w:cs="Times New Roman"/>
          <w:sz w:val="24"/>
          <w:szCs w:val="24"/>
        </w:rPr>
        <w:t>KHG</w:t>
      </w:r>
      <w:r w:rsidRPr="00372F91">
        <w:rPr>
          <w:rFonts w:ascii="Times New Roman" w:hAnsi="Times New Roman" w:cs="Times New Roman"/>
          <w:sz w:val="24"/>
          <w:szCs w:val="24"/>
        </w:rPr>
        <w:t xml:space="preserve"> jalajälje hindamiseks tekkida ka nende kategooriate alla kuuluvate taristuobjektide puhul, mille puhul see ei ole üldjuhul nõutav ning see võib sõltuda projekti ulatusest. </w:t>
      </w:r>
      <w:r w:rsidR="00200D98">
        <w:rPr>
          <w:rFonts w:ascii="Times New Roman" w:hAnsi="Times New Roman" w:cs="Times New Roman"/>
          <w:sz w:val="24"/>
          <w:szCs w:val="24"/>
        </w:rPr>
        <w:t>T</w:t>
      </w:r>
      <w:r w:rsidRPr="00372F91">
        <w:rPr>
          <w:rFonts w:ascii="Times New Roman" w:hAnsi="Times New Roman" w:cs="Times New Roman"/>
          <w:sz w:val="24"/>
          <w:szCs w:val="24"/>
        </w:rPr>
        <w:t>äpsemalt Euroopa Komisjoni juhendis ptk 3.2.1 tabel 2.</w:t>
      </w:r>
    </w:p>
    <w:p w14:paraId="1EDDBDA5" w14:textId="40F04729" w:rsidR="00904F9E" w:rsidRDefault="00904F9E" w:rsidP="1FC77272">
      <w:pPr>
        <w:jc w:val="both"/>
        <w:rPr>
          <w:rFonts w:ascii="Times New Roman" w:hAnsi="Times New Roman" w:cs="Times New Roman"/>
          <w:sz w:val="24"/>
          <w:szCs w:val="24"/>
        </w:rPr>
      </w:pPr>
      <w:r w:rsidRPr="1FC77272">
        <w:rPr>
          <w:rFonts w:ascii="Times New Roman" w:hAnsi="Times New Roman" w:cs="Times New Roman"/>
          <w:sz w:val="24"/>
          <w:szCs w:val="24"/>
        </w:rPr>
        <w:t>Kliimamuutuste leevendamise osas on kliimakindluse hindamine jagatud kahte etappi.</w:t>
      </w:r>
    </w:p>
    <w:p w14:paraId="0DAAF6FA" w14:textId="7DE329CD" w:rsidR="00904F9E" w:rsidRPr="00DE3FDC" w:rsidRDefault="00904F9E" w:rsidP="00DE3FDC">
      <w:pPr>
        <w:pStyle w:val="Pealkiri2"/>
      </w:pPr>
      <w:r w:rsidRPr="00DE3FDC">
        <w:t>Etapp 1</w:t>
      </w:r>
      <w:r w:rsidR="002056C0" w:rsidRPr="00DE3FDC">
        <w:t xml:space="preserve">: </w:t>
      </w:r>
      <w:r w:rsidRPr="00DE3FDC">
        <w:t>hindamine</w:t>
      </w:r>
    </w:p>
    <w:p w14:paraId="0C440337" w14:textId="2DB1863B" w:rsidR="00904F9E" w:rsidRDefault="00904F9E" w:rsidP="00C51AB1">
      <w:pPr>
        <w:jc w:val="both"/>
        <w:rPr>
          <w:rFonts w:ascii="Times New Roman" w:hAnsi="Times New Roman" w:cs="Times New Roman"/>
          <w:sz w:val="24"/>
          <w:szCs w:val="24"/>
        </w:rPr>
      </w:pPr>
      <w:r w:rsidRPr="1FC77272">
        <w:rPr>
          <w:rFonts w:ascii="Times New Roman" w:hAnsi="Times New Roman" w:cs="Times New Roman"/>
          <w:sz w:val="24"/>
          <w:szCs w:val="24"/>
        </w:rPr>
        <w:t xml:space="preserve">Esimeses etapis tuleb hinnata, kas projekt kuulub taristuobjektide kategooriasse, mille puhul tuleb läbi viia KHG jalajälje hindamine. Loetelu projektikategooriatest, mille puhul KHG jalajälje hindamine on üldjuhul nõutav, on leitav Euroopa Komisjoni kliimakindluse hindamise </w:t>
      </w:r>
      <w:r w:rsidR="000F11AF">
        <w:rPr>
          <w:rFonts w:ascii="Times New Roman" w:hAnsi="Times New Roman" w:cs="Times New Roman"/>
          <w:sz w:val="24"/>
          <w:szCs w:val="24"/>
        </w:rPr>
        <w:t>tehnilisest suunisest</w:t>
      </w:r>
      <w:r w:rsidRPr="1FC77272">
        <w:rPr>
          <w:rFonts w:ascii="Times New Roman" w:hAnsi="Times New Roman" w:cs="Times New Roman"/>
          <w:sz w:val="24"/>
          <w:szCs w:val="24"/>
        </w:rPr>
        <w:t xml:space="preserve"> ptk 3.2.1. (tabel 2).</w:t>
      </w:r>
      <w:r w:rsidR="00C05CC2" w:rsidRPr="1FC77272">
        <w:rPr>
          <w:rFonts w:ascii="Times New Roman" w:hAnsi="Times New Roman" w:cs="Times New Roman"/>
          <w:sz w:val="24"/>
          <w:szCs w:val="24"/>
        </w:rPr>
        <w:t xml:space="preserve"> </w:t>
      </w:r>
    </w:p>
    <w:p w14:paraId="709122FC" w14:textId="6132C948" w:rsidR="00C05CC2" w:rsidRDefault="0F576D3C" w:rsidP="00C51AB1">
      <w:pPr>
        <w:jc w:val="both"/>
        <w:rPr>
          <w:rFonts w:ascii="Times New Roman" w:hAnsi="Times New Roman" w:cs="Times New Roman"/>
          <w:sz w:val="24"/>
          <w:szCs w:val="24"/>
        </w:rPr>
      </w:pPr>
      <w:r w:rsidRPr="64ACFBC4">
        <w:rPr>
          <w:rFonts w:ascii="Times New Roman" w:hAnsi="Times New Roman" w:cs="Times New Roman"/>
          <w:sz w:val="24"/>
          <w:szCs w:val="24"/>
        </w:rPr>
        <w:t>Juhul, kui projekt kuulub kategooriasse, mille puhul KHG jalajälje hindamine ei ole</w:t>
      </w:r>
      <w:r w:rsidR="317872FA" w:rsidRPr="64ACFBC4">
        <w:rPr>
          <w:rFonts w:ascii="Times New Roman" w:hAnsi="Times New Roman" w:cs="Times New Roman"/>
          <w:sz w:val="24"/>
          <w:szCs w:val="24"/>
        </w:rPr>
        <w:t xml:space="preserve"> </w:t>
      </w:r>
      <w:r w:rsidRPr="64ACFBC4">
        <w:rPr>
          <w:rFonts w:ascii="Times New Roman" w:hAnsi="Times New Roman" w:cs="Times New Roman"/>
          <w:sz w:val="24"/>
          <w:szCs w:val="24"/>
        </w:rPr>
        <w:t xml:space="preserve">üldjuhul nõutav, tuleb </w:t>
      </w:r>
      <w:r w:rsidR="317872FA" w:rsidRPr="64ACFBC4">
        <w:rPr>
          <w:rFonts w:ascii="Times New Roman" w:hAnsi="Times New Roman" w:cs="Times New Roman"/>
          <w:sz w:val="24"/>
          <w:szCs w:val="24"/>
        </w:rPr>
        <w:t>otsus koos põhjendusega kanda kliimaneutraalsuse hindamise dokumentatsiooni. Nende taristuobjektide puhul on vaja sellele vaatamata viia läbi ka kliimamuutustele vastupanuvõime hindamine, mis on paralleelne samuti kahte etappi jagatud protsess (vaata allpool</w:t>
      </w:r>
      <w:r w:rsidR="00200D98">
        <w:rPr>
          <w:rFonts w:ascii="Times New Roman" w:hAnsi="Times New Roman" w:cs="Times New Roman"/>
          <w:sz w:val="24"/>
          <w:szCs w:val="24"/>
        </w:rPr>
        <w:t xml:space="preserve"> punkt 2.3.</w:t>
      </w:r>
      <w:r w:rsidR="317872FA" w:rsidRPr="64ACFBC4">
        <w:rPr>
          <w:rFonts w:ascii="Times New Roman" w:hAnsi="Times New Roman" w:cs="Times New Roman"/>
          <w:sz w:val="24"/>
          <w:szCs w:val="24"/>
        </w:rPr>
        <w:t>).</w:t>
      </w:r>
    </w:p>
    <w:p w14:paraId="0697AF3F" w14:textId="7D28C5F7" w:rsidR="1FC77272" w:rsidRDefault="317872FA" w:rsidP="1FC77272">
      <w:pPr>
        <w:jc w:val="both"/>
        <w:rPr>
          <w:rFonts w:ascii="Times New Roman" w:hAnsi="Times New Roman" w:cs="Times New Roman"/>
          <w:sz w:val="24"/>
          <w:szCs w:val="24"/>
        </w:rPr>
      </w:pPr>
      <w:r w:rsidRPr="64ACFBC4">
        <w:rPr>
          <w:rFonts w:ascii="Times New Roman" w:hAnsi="Times New Roman" w:cs="Times New Roman"/>
          <w:sz w:val="24"/>
          <w:szCs w:val="24"/>
        </w:rPr>
        <w:t>Juhul, kui projekt kuulub kategooriasse, mille puhul on KHG jalajälje hindamine nõutav</w:t>
      </w:r>
      <w:r w:rsidR="07684AEC" w:rsidRPr="64ACFBC4">
        <w:rPr>
          <w:rFonts w:ascii="Times New Roman" w:hAnsi="Times New Roman" w:cs="Times New Roman"/>
          <w:sz w:val="24"/>
          <w:szCs w:val="24"/>
        </w:rPr>
        <w:t xml:space="preserve"> ning see ei lange ka programmiga</w:t>
      </w:r>
      <w:r w:rsidRPr="64ACFBC4">
        <w:rPr>
          <w:rFonts w:ascii="Times New Roman" w:hAnsi="Times New Roman" w:cs="Times New Roman"/>
          <w:sz w:val="24"/>
          <w:szCs w:val="24"/>
        </w:rPr>
        <w:t xml:space="preserve"> seatud piirmäära</w:t>
      </w:r>
      <w:r w:rsidR="07684AEC" w:rsidRPr="64ACFBC4">
        <w:rPr>
          <w:rFonts w:ascii="Times New Roman" w:hAnsi="Times New Roman" w:cs="Times New Roman"/>
          <w:sz w:val="24"/>
          <w:szCs w:val="24"/>
        </w:rPr>
        <w:t xml:space="preserve"> või muu erisuse</w:t>
      </w:r>
      <w:r w:rsidRPr="64ACFBC4">
        <w:rPr>
          <w:rFonts w:ascii="Times New Roman" w:hAnsi="Times New Roman" w:cs="Times New Roman"/>
          <w:sz w:val="24"/>
          <w:szCs w:val="24"/>
        </w:rPr>
        <w:t xml:space="preserve"> alla, siis tuleb hindamisega liikuda edasi teise etappi.</w:t>
      </w:r>
    </w:p>
    <w:p w14:paraId="203F8B58" w14:textId="77777777" w:rsidR="00DE3FDC" w:rsidRDefault="00DE3FDC" w:rsidP="1FC77272">
      <w:pPr>
        <w:jc w:val="both"/>
        <w:rPr>
          <w:rFonts w:ascii="Times New Roman" w:hAnsi="Times New Roman" w:cs="Times New Roman"/>
          <w:sz w:val="24"/>
          <w:szCs w:val="24"/>
        </w:rPr>
      </w:pPr>
    </w:p>
    <w:p w14:paraId="61C5D5D8" w14:textId="77777777" w:rsidR="00571923" w:rsidRPr="00117920" w:rsidRDefault="00571923" w:rsidP="00DE3FDC">
      <w:pPr>
        <w:pStyle w:val="Pealkiri2"/>
      </w:pPr>
      <w:r w:rsidRPr="00117920">
        <w:t>Etapp II</w:t>
      </w:r>
      <w:r w:rsidR="002056C0" w:rsidRPr="00117920">
        <w:t xml:space="preserve">: </w:t>
      </w:r>
      <w:r w:rsidRPr="00117920">
        <w:t>üksikasjalik analüüs</w:t>
      </w:r>
      <w:r w:rsidR="002056C0" w:rsidRPr="00117920">
        <w:t xml:space="preserve"> </w:t>
      </w:r>
    </w:p>
    <w:p w14:paraId="75E40CFA" w14:textId="43E5ED3B" w:rsidR="00571923" w:rsidRPr="005B3601" w:rsidRDefault="005A6AAE" w:rsidP="1FC77272">
      <w:pPr>
        <w:jc w:val="both"/>
        <w:rPr>
          <w:rFonts w:ascii="Times New Roman" w:hAnsi="Times New Roman" w:cs="Times New Roman"/>
          <w:sz w:val="24"/>
          <w:szCs w:val="24"/>
        </w:rPr>
      </w:pPr>
      <w:r>
        <w:rPr>
          <w:rFonts w:ascii="Times New Roman" w:hAnsi="Times New Roman" w:cs="Times New Roman"/>
          <w:sz w:val="24"/>
          <w:szCs w:val="24"/>
        </w:rPr>
        <w:t xml:space="preserve">Üksikasjalik analüüs hõlmab KHG heite (ja selle vähendamise) kvantifitseerimist ja rahasse arvestamist ning 2030. ja 2050. aasta kliimaeesmärkidele vastavuse hindamist. </w:t>
      </w:r>
      <w:r w:rsidR="0C2C1919" w:rsidRPr="64ACFBC4">
        <w:rPr>
          <w:rFonts w:ascii="Times New Roman" w:hAnsi="Times New Roman" w:cs="Times New Roman"/>
          <w:sz w:val="24"/>
          <w:szCs w:val="24"/>
        </w:rPr>
        <w:t xml:space="preserve">Teises etapis on esimene samm kvantifitseerida KHG heitkogused tüüpilisel tegevusaastal, kasutades </w:t>
      </w:r>
      <w:r w:rsidR="00DD38B8">
        <w:rPr>
          <w:rFonts w:ascii="Times New Roman" w:hAnsi="Times New Roman" w:cs="Times New Roman"/>
          <w:sz w:val="24"/>
          <w:szCs w:val="24"/>
        </w:rPr>
        <w:t>KHG</w:t>
      </w:r>
      <w:r w:rsidR="0C2C1919" w:rsidRPr="64ACFBC4">
        <w:rPr>
          <w:rFonts w:ascii="Times New Roman" w:hAnsi="Times New Roman" w:cs="Times New Roman"/>
          <w:sz w:val="24"/>
          <w:szCs w:val="24"/>
        </w:rPr>
        <w:t xml:space="preserve"> jalajälje määramise meetodit. Taristuobjekti KHG jalajälje arvutus hõlmab kolme liiki heitkoguseid: </w:t>
      </w:r>
    </w:p>
    <w:p w14:paraId="3C76B563" w14:textId="59DBC07E" w:rsidR="00571923" w:rsidRPr="005B3601" w:rsidRDefault="1FC77272" w:rsidP="00E55FD1">
      <w:pPr>
        <w:ind w:left="708"/>
        <w:jc w:val="both"/>
        <w:rPr>
          <w:rFonts w:ascii="Times New Roman" w:hAnsi="Times New Roman" w:cs="Times New Roman"/>
          <w:sz w:val="24"/>
          <w:szCs w:val="24"/>
        </w:rPr>
      </w:pPr>
      <w:r w:rsidRPr="1FC77272">
        <w:rPr>
          <w:rFonts w:ascii="Times New Roman" w:hAnsi="Times New Roman" w:cs="Times New Roman"/>
          <w:sz w:val="24"/>
          <w:szCs w:val="24"/>
        </w:rPr>
        <w:t>1) otsesed heited</w:t>
      </w:r>
      <w:r w:rsidR="000F11AF">
        <w:rPr>
          <w:rFonts w:ascii="Times New Roman" w:hAnsi="Times New Roman" w:cs="Times New Roman"/>
          <w:sz w:val="24"/>
          <w:szCs w:val="24"/>
        </w:rPr>
        <w:t xml:space="preserve"> (nt</w:t>
      </w:r>
      <w:r w:rsidR="00B7263F">
        <w:rPr>
          <w:rFonts w:ascii="Times New Roman" w:hAnsi="Times New Roman" w:cs="Times New Roman"/>
          <w:sz w:val="24"/>
          <w:szCs w:val="24"/>
        </w:rPr>
        <w:t xml:space="preserve"> kütuste põlemisel, protsessi/tegevuse heited, kontrollimatu heide)</w:t>
      </w:r>
      <w:r w:rsidRPr="1FC77272">
        <w:rPr>
          <w:rFonts w:ascii="Times New Roman" w:hAnsi="Times New Roman" w:cs="Times New Roman"/>
          <w:sz w:val="24"/>
          <w:szCs w:val="24"/>
        </w:rPr>
        <w:t xml:space="preserve">; </w:t>
      </w:r>
    </w:p>
    <w:p w14:paraId="2058B30E" w14:textId="5E749217" w:rsidR="00571923" w:rsidRPr="005B3601" w:rsidRDefault="1FC77272" w:rsidP="00E55FD1">
      <w:pPr>
        <w:ind w:left="708"/>
        <w:jc w:val="both"/>
        <w:rPr>
          <w:rFonts w:ascii="Times New Roman" w:hAnsi="Times New Roman" w:cs="Times New Roman"/>
          <w:sz w:val="24"/>
          <w:szCs w:val="24"/>
        </w:rPr>
      </w:pPr>
      <w:r w:rsidRPr="1FC77272">
        <w:rPr>
          <w:rFonts w:ascii="Times New Roman" w:hAnsi="Times New Roman" w:cs="Times New Roman"/>
          <w:sz w:val="24"/>
          <w:szCs w:val="24"/>
        </w:rPr>
        <w:t xml:space="preserve">2) taristu käitaja poolt sisseostetava energiaga seotud heited (elekter/küte/jahutus); </w:t>
      </w:r>
    </w:p>
    <w:p w14:paraId="4CF016E9" w14:textId="037A8108" w:rsidR="00571923" w:rsidRPr="005B3601" w:rsidRDefault="1FC77272" w:rsidP="00E55FD1">
      <w:pPr>
        <w:ind w:left="708"/>
        <w:jc w:val="both"/>
        <w:rPr>
          <w:rFonts w:ascii="Times New Roman" w:hAnsi="Times New Roman" w:cs="Times New Roman"/>
          <w:sz w:val="24"/>
          <w:szCs w:val="24"/>
        </w:rPr>
      </w:pPr>
      <w:r w:rsidRPr="1FC77272">
        <w:rPr>
          <w:rFonts w:ascii="Times New Roman" w:hAnsi="Times New Roman" w:cs="Times New Roman"/>
          <w:sz w:val="24"/>
          <w:szCs w:val="24"/>
        </w:rPr>
        <w:t>3) kaudsed heited (nt transporditaristu puhul sõidukite KHG heide).</w:t>
      </w:r>
    </w:p>
    <w:p w14:paraId="202512CE" w14:textId="6E1E57D5" w:rsidR="00571923" w:rsidRPr="005B3601" w:rsidRDefault="0C2C1919" w:rsidP="1FC77272">
      <w:pPr>
        <w:jc w:val="both"/>
        <w:rPr>
          <w:rFonts w:ascii="Times New Roman" w:hAnsi="Times New Roman" w:cs="Times New Roman"/>
          <w:sz w:val="24"/>
          <w:szCs w:val="24"/>
        </w:rPr>
      </w:pPr>
      <w:r w:rsidRPr="1FC77272">
        <w:rPr>
          <w:rFonts w:ascii="Times New Roman" w:hAnsi="Times New Roman" w:cs="Times New Roman"/>
          <w:sz w:val="24"/>
          <w:szCs w:val="24"/>
        </w:rPr>
        <w:t>Jalajälje hindamise puhul soovita</w:t>
      </w:r>
      <w:r w:rsidR="009E7379">
        <w:rPr>
          <w:rFonts w:ascii="Times New Roman" w:hAnsi="Times New Roman" w:cs="Times New Roman"/>
          <w:sz w:val="24"/>
          <w:szCs w:val="24"/>
        </w:rPr>
        <w:t>b</w:t>
      </w:r>
      <w:r w:rsidRPr="1FC77272">
        <w:rPr>
          <w:rFonts w:ascii="Times New Roman" w:hAnsi="Times New Roman" w:cs="Times New Roman"/>
          <w:sz w:val="24"/>
          <w:szCs w:val="24"/>
        </w:rPr>
        <w:t xml:space="preserve"> </w:t>
      </w:r>
      <w:r w:rsidR="00B7263F">
        <w:rPr>
          <w:rFonts w:ascii="Times New Roman" w:hAnsi="Times New Roman" w:cs="Times New Roman"/>
          <w:sz w:val="24"/>
          <w:szCs w:val="24"/>
        </w:rPr>
        <w:t xml:space="preserve">Euroopa </w:t>
      </w:r>
      <w:r w:rsidRPr="1FC77272">
        <w:rPr>
          <w:rFonts w:ascii="Times New Roman" w:hAnsi="Times New Roman" w:cs="Times New Roman"/>
          <w:sz w:val="24"/>
          <w:szCs w:val="24"/>
        </w:rPr>
        <w:t xml:space="preserve">Komisjoni </w:t>
      </w:r>
      <w:r w:rsidR="00B7263F">
        <w:rPr>
          <w:rFonts w:ascii="Times New Roman" w:hAnsi="Times New Roman" w:cs="Times New Roman"/>
          <w:sz w:val="24"/>
          <w:szCs w:val="24"/>
        </w:rPr>
        <w:t>tehnili</w:t>
      </w:r>
      <w:r w:rsidR="009E7379">
        <w:rPr>
          <w:rFonts w:ascii="Times New Roman" w:hAnsi="Times New Roman" w:cs="Times New Roman"/>
          <w:sz w:val="24"/>
          <w:szCs w:val="24"/>
        </w:rPr>
        <w:t>ne</w:t>
      </w:r>
      <w:r w:rsidR="00B7263F">
        <w:rPr>
          <w:rFonts w:ascii="Times New Roman" w:hAnsi="Times New Roman" w:cs="Times New Roman"/>
          <w:sz w:val="24"/>
          <w:szCs w:val="24"/>
        </w:rPr>
        <w:t xml:space="preserve"> suunis</w:t>
      </w:r>
      <w:r w:rsidRPr="1FC77272">
        <w:rPr>
          <w:rFonts w:ascii="Times New Roman" w:hAnsi="Times New Roman" w:cs="Times New Roman"/>
          <w:sz w:val="24"/>
          <w:szCs w:val="24"/>
        </w:rPr>
        <w:t xml:space="preserve"> kasutada Euroopa Investeerimispanga</w:t>
      </w:r>
      <w:r w:rsidR="009E7379">
        <w:rPr>
          <w:rFonts w:ascii="Times New Roman" w:hAnsi="Times New Roman" w:cs="Times New Roman"/>
          <w:sz w:val="24"/>
          <w:szCs w:val="24"/>
        </w:rPr>
        <w:t xml:space="preserve"> (EIB)</w:t>
      </w:r>
      <w:r w:rsidRPr="1FC77272">
        <w:rPr>
          <w:rFonts w:ascii="Times New Roman" w:hAnsi="Times New Roman" w:cs="Times New Roman"/>
          <w:sz w:val="24"/>
          <w:szCs w:val="24"/>
        </w:rPr>
        <w:t xml:space="preserve"> metoodikat, mis on kättesaadav </w:t>
      </w:r>
      <w:hyperlink r:id="rId10" w:history="1">
        <w:r w:rsidRPr="00EE1AD2">
          <w:rPr>
            <w:rStyle w:val="Hperlink"/>
            <w:rFonts w:ascii="Times New Roman" w:hAnsi="Times New Roman" w:cs="Times New Roman"/>
            <w:sz w:val="24"/>
            <w:szCs w:val="24"/>
          </w:rPr>
          <w:t>siit</w:t>
        </w:r>
      </w:hyperlink>
      <w:r w:rsidR="00B7263F">
        <w:rPr>
          <w:rFonts w:ascii="Times New Roman" w:hAnsi="Times New Roman" w:cs="Times New Roman"/>
          <w:sz w:val="24"/>
          <w:szCs w:val="24"/>
        </w:rPr>
        <w:t>:</w:t>
      </w:r>
      <w:r w:rsidRPr="1FC77272">
        <w:rPr>
          <w:rFonts w:ascii="Times New Roman" w:hAnsi="Times New Roman" w:cs="Times New Roman"/>
          <w:sz w:val="24"/>
          <w:szCs w:val="24"/>
        </w:rPr>
        <w:t xml:space="preserve"> </w:t>
      </w:r>
      <w:hyperlink r:id="rId11">
        <w:r w:rsidRPr="1FC77272">
          <w:rPr>
            <w:rStyle w:val="Hperlink"/>
            <w:rFonts w:ascii="Times New Roman" w:hAnsi="Times New Roman" w:cs="Times New Roman"/>
            <w:sz w:val="24"/>
            <w:szCs w:val="24"/>
          </w:rPr>
          <w:t>https://www.eib.org/en/about/documents/footprint-methodologies.htm.</w:t>
        </w:r>
      </w:hyperlink>
      <w:r w:rsidRPr="1FC77272">
        <w:rPr>
          <w:rFonts w:ascii="Times New Roman" w:hAnsi="Times New Roman" w:cs="Times New Roman"/>
          <w:sz w:val="24"/>
          <w:szCs w:val="24"/>
        </w:rPr>
        <w:t xml:space="preserve"> Oluline on tähele </w:t>
      </w:r>
      <w:r w:rsidRPr="1FC77272">
        <w:rPr>
          <w:rFonts w:ascii="Times New Roman" w:hAnsi="Times New Roman" w:cs="Times New Roman"/>
          <w:sz w:val="24"/>
          <w:szCs w:val="24"/>
        </w:rPr>
        <w:lastRenderedPageBreak/>
        <w:t>panna, et KHG jalajälje hindamine hõlmab lisaks CO2-le ka teiste peamiste kasvuhoonegaaside arvesse võtmist. KHG heite kvantifitseerimisel teisendatakse kõik heitkogused süsinikdioksiidi tonnideks ehk CO2 ekvivalendiks. Eesti</w:t>
      </w:r>
      <w:r w:rsidR="009E7379">
        <w:rPr>
          <w:rFonts w:ascii="Times New Roman" w:hAnsi="Times New Roman" w:cs="Times New Roman"/>
          <w:sz w:val="24"/>
          <w:szCs w:val="24"/>
        </w:rPr>
        <w:t>l on määratud</w:t>
      </w:r>
      <w:r w:rsidRPr="1FC77272">
        <w:rPr>
          <w:rFonts w:ascii="Times New Roman" w:hAnsi="Times New Roman" w:cs="Times New Roman"/>
          <w:sz w:val="24"/>
          <w:szCs w:val="24"/>
        </w:rPr>
        <w:t xml:space="preserve"> riigispetsiifilised eriheitetegurid</w:t>
      </w:r>
      <w:r w:rsidR="009E7379">
        <w:rPr>
          <w:rFonts w:ascii="Times New Roman" w:hAnsi="Times New Roman" w:cs="Times New Roman"/>
          <w:sz w:val="24"/>
          <w:szCs w:val="24"/>
        </w:rPr>
        <w:t xml:space="preserve">, millest saab </w:t>
      </w:r>
      <w:r w:rsidR="00EE1AD2">
        <w:rPr>
          <w:rFonts w:ascii="Times New Roman" w:hAnsi="Times New Roman" w:cs="Times New Roman"/>
          <w:sz w:val="24"/>
          <w:szCs w:val="24"/>
        </w:rPr>
        <w:t>arvutamisel lähtuda</w:t>
      </w:r>
      <w:r w:rsidR="00DD20BD">
        <w:rPr>
          <w:rStyle w:val="Allmrkuseviide"/>
          <w:rFonts w:ascii="Times New Roman" w:hAnsi="Times New Roman" w:cs="Times New Roman"/>
          <w:sz w:val="24"/>
          <w:szCs w:val="24"/>
        </w:rPr>
        <w:footnoteReference w:id="4"/>
      </w:r>
      <w:r w:rsidR="00EE1AD2">
        <w:rPr>
          <w:rFonts w:ascii="Times New Roman" w:hAnsi="Times New Roman" w:cs="Times New Roman"/>
          <w:sz w:val="24"/>
          <w:szCs w:val="24"/>
        </w:rPr>
        <w:t>.</w:t>
      </w:r>
      <w:r w:rsidRPr="1FC77272">
        <w:rPr>
          <w:rFonts w:ascii="Times New Roman" w:hAnsi="Times New Roman" w:cs="Times New Roman"/>
          <w:sz w:val="24"/>
          <w:szCs w:val="24"/>
        </w:rPr>
        <w:t xml:space="preserve"> Juhul, kui riigi põhine eriheitetegur puudub</w:t>
      </w:r>
      <w:r w:rsidR="00EE1AD2">
        <w:rPr>
          <w:rFonts w:ascii="Times New Roman" w:hAnsi="Times New Roman" w:cs="Times New Roman"/>
          <w:sz w:val="24"/>
          <w:szCs w:val="24"/>
        </w:rPr>
        <w:t>,</w:t>
      </w:r>
      <w:r w:rsidRPr="1FC77272">
        <w:rPr>
          <w:rFonts w:ascii="Times New Roman" w:hAnsi="Times New Roman" w:cs="Times New Roman"/>
          <w:sz w:val="24"/>
          <w:szCs w:val="24"/>
        </w:rPr>
        <w:t xml:space="preserve"> on võimalik kasutada </w:t>
      </w:r>
      <w:r w:rsidR="64ACFBC4" w:rsidRPr="64ACFBC4">
        <w:rPr>
          <w:rFonts w:ascii="Times New Roman" w:hAnsi="Times New Roman" w:cs="Times New Roman"/>
          <w:sz w:val="24"/>
          <w:szCs w:val="24"/>
        </w:rPr>
        <w:t>Valitsustevaheli</w:t>
      </w:r>
      <w:r w:rsidR="000F11AF">
        <w:rPr>
          <w:rFonts w:ascii="Times New Roman" w:hAnsi="Times New Roman" w:cs="Times New Roman"/>
          <w:sz w:val="24"/>
          <w:szCs w:val="24"/>
        </w:rPr>
        <w:t>s</w:t>
      </w:r>
      <w:r w:rsidR="64ACFBC4" w:rsidRPr="64ACFBC4">
        <w:rPr>
          <w:rFonts w:ascii="Times New Roman" w:hAnsi="Times New Roman" w:cs="Times New Roman"/>
          <w:sz w:val="24"/>
          <w:szCs w:val="24"/>
        </w:rPr>
        <w:t>e kliimamuutuste paneeli (</w:t>
      </w:r>
      <w:r w:rsidRPr="1FC77272">
        <w:rPr>
          <w:rFonts w:ascii="Times New Roman" w:hAnsi="Times New Roman" w:cs="Times New Roman"/>
          <w:sz w:val="24"/>
          <w:szCs w:val="24"/>
        </w:rPr>
        <w:t>IPCC) arvutatud väärtus</w:t>
      </w:r>
      <w:r w:rsidR="000F11AF">
        <w:rPr>
          <w:rFonts w:ascii="Times New Roman" w:hAnsi="Times New Roman" w:cs="Times New Roman"/>
          <w:sz w:val="24"/>
          <w:szCs w:val="24"/>
        </w:rPr>
        <w:t>eid</w:t>
      </w:r>
      <w:r w:rsidRPr="1FC77272">
        <w:rPr>
          <w:rFonts w:ascii="Times New Roman" w:hAnsi="Times New Roman" w:cs="Times New Roman"/>
          <w:sz w:val="24"/>
          <w:szCs w:val="24"/>
        </w:rPr>
        <w:t>.</w:t>
      </w:r>
      <w:r w:rsidR="1FC77272" w:rsidRPr="64ACFBC4">
        <w:rPr>
          <w:rStyle w:val="Allmrkuseviide"/>
          <w:rFonts w:ascii="Times New Roman" w:hAnsi="Times New Roman" w:cs="Times New Roman"/>
          <w:sz w:val="24"/>
          <w:szCs w:val="24"/>
        </w:rPr>
        <w:footnoteReference w:id="5"/>
      </w:r>
      <w:r w:rsidRPr="1FC77272">
        <w:rPr>
          <w:rFonts w:ascii="Times New Roman" w:hAnsi="Times New Roman" w:cs="Times New Roman"/>
          <w:sz w:val="24"/>
          <w:szCs w:val="24"/>
        </w:rPr>
        <w:t xml:space="preserve"> </w:t>
      </w:r>
      <w:r w:rsidR="00C82D1B" w:rsidRPr="00C82D1B">
        <w:rPr>
          <w:rFonts w:ascii="Times New Roman" w:hAnsi="Times New Roman" w:cs="Times New Roman"/>
          <w:sz w:val="24"/>
          <w:szCs w:val="24"/>
        </w:rPr>
        <w:t xml:space="preserve">KHG jalajälje hindamisel peab olema </w:t>
      </w:r>
      <w:r w:rsidR="00B7263F">
        <w:rPr>
          <w:rFonts w:ascii="Times New Roman" w:hAnsi="Times New Roman" w:cs="Times New Roman"/>
          <w:sz w:val="24"/>
          <w:szCs w:val="24"/>
        </w:rPr>
        <w:t>jälgitav</w:t>
      </w:r>
      <w:r w:rsidR="00C82D1B" w:rsidRPr="00C82D1B">
        <w:rPr>
          <w:rFonts w:ascii="Times New Roman" w:hAnsi="Times New Roman" w:cs="Times New Roman"/>
          <w:sz w:val="24"/>
          <w:szCs w:val="24"/>
        </w:rPr>
        <w:t xml:space="preserve"> milliseid, mis ühikutele kehtivaid ja kust pärinevaid eriheitetegureid arvutustes kasutatakse, kas need on projekti aegreas muutumatud ning milliseid KHG-sid sealjuures arvestatakse. Vahetult kohaldatavate eriheitetegurite puudumisel peab olema selge, mis eeldustele ja andmetele tuginedes on tehtud vahearvutusi.</w:t>
      </w:r>
      <w:r w:rsidR="00C82D1B">
        <w:rPr>
          <w:rFonts w:ascii="Times New Roman" w:hAnsi="Times New Roman" w:cs="Times New Roman"/>
          <w:sz w:val="24"/>
          <w:szCs w:val="24"/>
        </w:rPr>
        <w:t xml:space="preserve"> </w:t>
      </w:r>
      <w:r w:rsidR="00C82D1B" w:rsidRPr="1FC77272">
        <w:rPr>
          <w:rFonts w:ascii="Times New Roman" w:hAnsi="Times New Roman" w:cs="Times New Roman"/>
          <w:sz w:val="24"/>
          <w:szCs w:val="24"/>
        </w:rPr>
        <w:t>Vaata täpsemalt lisaks ka Euroopa Komisjoni juhendi ptk 3.2.2.1.</w:t>
      </w:r>
      <w:r w:rsidR="00C82D1B" w:rsidRPr="00C82D1B">
        <w:rPr>
          <w:rFonts w:ascii="Times New Roman" w:hAnsi="Times New Roman" w:cs="Times New Roman"/>
          <w:sz w:val="24"/>
          <w:szCs w:val="24"/>
        </w:rPr>
        <w:t xml:space="preserve">  </w:t>
      </w:r>
    </w:p>
    <w:p w14:paraId="0DCA5979" w14:textId="23BC7A34" w:rsidR="00571923" w:rsidRPr="005B3601" w:rsidRDefault="1FC77272" w:rsidP="1FC77272">
      <w:pPr>
        <w:jc w:val="both"/>
        <w:rPr>
          <w:rFonts w:ascii="Times New Roman" w:hAnsi="Times New Roman" w:cs="Times New Roman"/>
          <w:sz w:val="24"/>
          <w:szCs w:val="24"/>
        </w:rPr>
      </w:pPr>
      <w:r w:rsidRPr="1FC77272">
        <w:rPr>
          <w:rFonts w:ascii="Times New Roman" w:hAnsi="Times New Roman" w:cs="Times New Roman"/>
          <w:sz w:val="24"/>
          <w:szCs w:val="24"/>
        </w:rPr>
        <w:t>Järgmisena tuleb võrrelda tulemusi absoluutse ja suhtelise KHG heite piirmääradega. Absoluutse heite aluseks on projekti piirid, mis hõlmavad kõiki projektiga seoses tekkivaid olulisi kolme liiki heitkoguseid. Näiteks maanteelõigu puhul loetakse piiriks rahastamislepingus sätestatud maanteelõigu pikkust ning projekt ja absoluutse heite arvutamine hõlmavad seda konkreetset maanteelõiku kasutavate sõidukite KHG heidet tüüpilisel aastal.</w:t>
      </w:r>
    </w:p>
    <w:p w14:paraId="1356E464" w14:textId="6CF612A1" w:rsidR="00571923" w:rsidRPr="005B3601" w:rsidRDefault="1FC77272" w:rsidP="1FC77272">
      <w:pPr>
        <w:jc w:val="both"/>
        <w:rPr>
          <w:rFonts w:ascii="Times New Roman" w:hAnsi="Times New Roman" w:cs="Times New Roman"/>
          <w:sz w:val="24"/>
          <w:szCs w:val="24"/>
        </w:rPr>
      </w:pPr>
      <w:r w:rsidRPr="1FC77272">
        <w:rPr>
          <w:rFonts w:ascii="Times New Roman" w:hAnsi="Times New Roman" w:cs="Times New Roman"/>
          <w:sz w:val="24"/>
          <w:szCs w:val="24"/>
        </w:rPr>
        <w:t>Suhtelise heite aluseks on projekti piirid, mis hõlmavad asjakohaselt „projektiga“ ja „projektita“ stsenaariume. Need piirid hõlmavad kõiki olulisi kolme liiki heitkoguseid. Heite lähtetaseme kajastamiseks võivad projekti piirid ulatuda ka projekti füüsilistest piiridest väljapoole. S</w:t>
      </w:r>
      <w:r w:rsidR="00093AE4">
        <w:rPr>
          <w:rFonts w:ascii="Times New Roman" w:hAnsi="Times New Roman" w:cs="Times New Roman"/>
          <w:sz w:val="24"/>
          <w:szCs w:val="24"/>
        </w:rPr>
        <w:t xml:space="preserve">ee </w:t>
      </w:r>
      <w:r w:rsidRPr="1FC77272">
        <w:rPr>
          <w:rFonts w:ascii="Times New Roman" w:hAnsi="Times New Roman" w:cs="Times New Roman"/>
          <w:sz w:val="24"/>
          <w:szCs w:val="24"/>
        </w:rPr>
        <w:t>t</w:t>
      </w:r>
      <w:r w:rsidR="00093AE4">
        <w:rPr>
          <w:rFonts w:ascii="Times New Roman" w:hAnsi="Times New Roman" w:cs="Times New Roman"/>
          <w:sz w:val="24"/>
          <w:szCs w:val="24"/>
        </w:rPr>
        <w:t>ähendab</w:t>
      </w:r>
      <w:r w:rsidRPr="1FC77272">
        <w:rPr>
          <w:rFonts w:ascii="Times New Roman" w:hAnsi="Times New Roman" w:cs="Times New Roman"/>
          <w:sz w:val="24"/>
          <w:szCs w:val="24"/>
        </w:rPr>
        <w:t>, et suhtelise heite arvutamisel kasutatakse piire, mis hõlmavad kogu projektist mõjutatud piirkonda. Täpsema juhise leia</w:t>
      </w:r>
      <w:r w:rsidR="00093AE4">
        <w:rPr>
          <w:rFonts w:ascii="Times New Roman" w:hAnsi="Times New Roman" w:cs="Times New Roman"/>
          <w:sz w:val="24"/>
          <w:szCs w:val="24"/>
        </w:rPr>
        <w:t>b</w:t>
      </w:r>
      <w:r w:rsidRPr="1FC77272">
        <w:rPr>
          <w:rFonts w:ascii="Times New Roman" w:hAnsi="Times New Roman" w:cs="Times New Roman"/>
          <w:sz w:val="24"/>
          <w:szCs w:val="24"/>
        </w:rPr>
        <w:t xml:space="preserve"> Euroopa Komisjoni </w:t>
      </w:r>
      <w:r w:rsidR="00B7263F">
        <w:rPr>
          <w:rFonts w:ascii="Times New Roman" w:hAnsi="Times New Roman" w:cs="Times New Roman"/>
          <w:sz w:val="24"/>
          <w:szCs w:val="24"/>
        </w:rPr>
        <w:t>tehniliste suuniste</w:t>
      </w:r>
      <w:r w:rsidRPr="1FC77272">
        <w:rPr>
          <w:rFonts w:ascii="Times New Roman" w:hAnsi="Times New Roman" w:cs="Times New Roman"/>
          <w:sz w:val="24"/>
          <w:szCs w:val="24"/>
        </w:rPr>
        <w:t xml:space="preserve"> ptk 3.2.2.1.</w:t>
      </w:r>
    </w:p>
    <w:p w14:paraId="22037F33" w14:textId="2071FF05" w:rsidR="00571923" w:rsidRPr="005B3601" w:rsidRDefault="0C2C1919" w:rsidP="1FC77272">
      <w:pPr>
        <w:jc w:val="both"/>
        <w:rPr>
          <w:rFonts w:ascii="Times New Roman" w:hAnsi="Times New Roman" w:cs="Times New Roman"/>
          <w:sz w:val="24"/>
          <w:szCs w:val="24"/>
        </w:rPr>
      </w:pPr>
      <w:r w:rsidRPr="64ACFBC4">
        <w:rPr>
          <w:rFonts w:ascii="Times New Roman" w:hAnsi="Times New Roman" w:cs="Times New Roman"/>
          <w:sz w:val="24"/>
          <w:szCs w:val="24"/>
        </w:rPr>
        <w:t>Absoluutne ja suhteline heide tuleks kvantifitseerida tüüpilise tegevusaasta kohta. Kui projekti</w:t>
      </w:r>
      <w:r w:rsidR="00DC2199">
        <w:rPr>
          <w:rFonts w:ascii="Times New Roman" w:hAnsi="Times New Roman" w:cs="Times New Roman"/>
          <w:sz w:val="24"/>
          <w:szCs w:val="24"/>
        </w:rPr>
        <w:t xml:space="preserve"> KHG heide</w:t>
      </w:r>
      <w:r w:rsidRPr="64ACFBC4">
        <w:rPr>
          <w:rFonts w:ascii="Times New Roman" w:hAnsi="Times New Roman" w:cs="Times New Roman"/>
          <w:sz w:val="24"/>
          <w:szCs w:val="24"/>
        </w:rPr>
        <w:t xml:space="preserve">, kas aastane absoluutne ja/või suhteline KHG heide, jääb alla 20 000 t CO2 ekv aastas, siis võib kliimakindluse hindamise leevendamise osas lõppenuks lugeda ning lisada analüüs kliimakindluse hindamise ja tagamise dokumentatsiooni. </w:t>
      </w:r>
    </w:p>
    <w:p w14:paraId="0510A49E" w14:textId="76D1F6FC" w:rsidR="00571923" w:rsidRPr="005B3601" w:rsidRDefault="1FC77272" w:rsidP="1FC77272">
      <w:pPr>
        <w:jc w:val="both"/>
        <w:rPr>
          <w:rFonts w:ascii="Times New Roman" w:hAnsi="Times New Roman" w:cs="Times New Roman"/>
          <w:sz w:val="24"/>
          <w:szCs w:val="24"/>
        </w:rPr>
      </w:pPr>
      <w:r w:rsidRPr="772BBCDB">
        <w:rPr>
          <w:rFonts w:ascii="Times New Roman" w:hAnsi="Times New Roman" w:cs="Times New Roman"/>
          <w:sz w:val="24"/>
          <w:szCs w:val="24"/>
        </w:rPr>
        <w:t>Juhul, kui projekti abso</w:t>
      </w:r>
      <w:r w:rsidR="006B5719">
        <w:rPr>
          <w:rFonts w:ascii="Times New Roman" w:hAnsi="Times New Roman" w:cs="Times New Roman"/>
          <w:sz w:val="24"/>
          <w:szCs w:val="24"/>
        </w:rPr>
        <w:t>luutne ja/või suhteline KHG heid</w:t>
      </w:r>
      <w:r w:rsidRPr="772BBCDB">
        <w:rPr>
          <w:rFonts w:ascii="Times New Roman" w:hAnsi="Times New Roman" w:cs="Times New Roman"/>
          <w:sz w:val="24"/>
          <w:szCs w:val="24"/>
        </w:rPr>
        <w:t>e ületab piirmäära 20 000 t CO2 ekv aastas, tuleb teha lisaks veel ka järgmised analüüsid:</w:t>
      </w:r>
    </w:p>
    <w:p w14:paraId="511EC584" w14:textId="40F80139" w:rsidR="009E65A1" w:rsidRPr="009E65A1" w:rsidRDefault="1FC77272" w:rsidP="00951D59">
      <w:pPr>
        <w:pStyle w:val="Loendilik"/>
        <w:numPr>
          <w:ilvl w:val="0"/>
          <w:numId w:val="2"/>
        </w:numPr>
        <w:jc w:val="both"/>
        <w:rPr>
          <w:rFonts w:ascii="Times New Roman" w:hAnsi="Times New Roman" w:cs="Times New Roman"/>
          <w:sz w:val="24"/>
          <w:szCs w:val="24"/>
        </w:rPr>
      </w:pPr>
      <w:r w:rsidRPr="009E65A1">
        <w:rPr>
          <w:rFonts w:ascii="Times New Roman" w:hAnsi="Times New Roman" w:cs="Times New Roman"/>
          <w:sz w:val="24"/>
          <w:szCs w:val="24"/>
        </w:rPr>
        <w:t>Arvestada KHG heit</w:t>
      </w:r>
      <w:r w:rsidR="0076660C">
        <w:rPr>
          <w:rFonts w:ascii="Times New Roman" w:hAnsi="Times New Roman" w:cs="Times New Roman"/>
          <w:sz w:val="24"/>
          <w:szCs w:val="24"/>
        </w:rPr>
        <w:t xml:space="preserve">kogused rahasse, lähtudes CO2 </w:t>
      </w:r>
      <w:r w:rsidRPr="009E65A1">
        <w:rPr>
          <w:rFonts w:ascii="Times New Roman" w:hAnsi="Times New Roman" w:cs="Times New Roman"/>
          <w:sz w:val="24"/>
          <w:szCs w:val="24"/>
        </w:rPr>
        <w:t xml:space="preserve">heite varikulust (vt </w:t>
      </w:r>
      <w:r w:rsidR="00DC2199" w:rsidRPr="009E65A1">
        <w:rPr>
          <w:rFonts w:ascii="Times New Roman" w:hAnsi="Times New Roman" w:cs="Times New Roman"/>
          <w:sz w:val="24"/>
          <w:szCs w:val="24"/>
        </w:rPr>
        <w:t xml:space="preserve">Euroopa </w:t>
      </w:r>
      <w:r w:rsidRPr="009E65A1">
        <w:rPr>
          <w:rFonts w:ascii="Times New Roman" w:hAnsi="Times New Roman" w:cs="Times New Roman"/>
          <w:sz w:val="24"/>
          <w:szCs w:val="24"/>
        </w:rPr>
        <w:t xml:space="preserve">Komisjoni </w:t>
      </w:r>
      <w:r w:rsidR="00DC2199" w:rsidRPr="009E65A1">
        <w:rPr>
          <w:rFonts w:ascii="Times New Roman" w:hAnsi="Times New Roman" w:cs="Times New Roman"/>
          <w:sz w:val="24"/>
          <w:szCs w:val="24"/>
        </w:rPr>
        <w:t>tehniliste suuniste</w:t>
      </w:r>
      <w:r w:rsidRPr="009E65A1">
        <w:rPr>
          <w:rFonts w:ascii="Times New Roman" w:hAnsi="Times New Roman" w:cs="Times New Roman"/>
          <w:sz w:val="24"/>
          <w:szCs w:val="24"/>
        </w:rPr>
        <w:t xml:space="preserve"> ptk 3.2.2.4.)</w:t>
      </w:r>
      <w:r w:rsidR="009E65A1" w:rsidRPr="009E65A1">
        <w:rPr>
          <w:rFonts w:ascii="Times New Roman" w:hAnsi="Times New Roman" w:cs="Times New Roman"/>
          <w:sz w:val="24"/>
          <w:szCs w:val="24"/>
        </w:rPr>
        <w:t xml:space="preserve"> ning integreerida see</w:t>
      </w:r>
      <w:r w:rsidR="00951D59">
        <w:rPr>
          <w:rFonts w:ascii="Times New Roman" w:hAnsi="Times New Roman" w:cs="Times New Roman"/>
          <w:sz w:val="24"/>
          <w:szCs w:val="24"/>
        </w:rPr>
        <w:t xml:space="preserve"> koos</w:t>
      </w:r>
      <w:r w:rsidR="009E65A1" w:rsidRPr="009E65A1">
        <w:rPr>
          <w:rFonts w:ascii="Times New Roman" w:hAnsi="Times New Roman" w:cs="Times New Roman"/>
          <w:sz w:val="24"/>
          <w:szCs w:val="24"/>
        </w:rPr>
        <w:t xml:space="preserve"> </w:t>
      </w:r>
      <w:r w:rsidR="00951D59" w:rsidRPr="00951D59">
        <w:rPr>
          <w:rFonts w:ascii="Times New Roman" w:hAnsi="Times New Roman" w:cs="Times New Roman"/>
          <w:sz w:val="24"/>
          <w:szCs w:val="24"/>
        </w:rPr>
        <w:t>energiatõhu</w:t>
      </w:r>
      <w:r w:rsidR="00951D59">
        <w:rPr>
          <w:rFonts w:ascii="Times New Roman" w:hAnsi="Times New Roman" w:cs="Times New Roman"/>
          <w:sz w:val="24"/>
          <w:szCs w:val="24"/>
        </w:rPr>
        <w:t>suse esikohale seadmise põhimõttega</w:t>
      </w:r>
      <w:r w:rsidR="00951D59" w:rsidRPr="00951D59">
        <w:rPr>
          <w:rFonts w:ascii="Times New Roman" w:hAnsi="Times New Roman" w:cs="Times New Roman"/>
          <w:sz w:val="24"/>
          <w:szCs w:val="24"/>
        </w:rPr>
        <w:t xml:space="preserve"> kindlalt projekti kavandamisse ning valikute</w:t>
      </w:r>
      <w:r w:rsidR="009E65A1" w:rsidRPr="009E65A1">
        <w:rPr>
          <w:rFonts w:ascii="Times New Roman" w:hAnsi="Times New Roman" w:cs="Times New Roman"/>
          <w:sz w:val="24"/>
          <w:szCs w:val="24"/>
        </w:rPr>
        <w:t xml:space="preserve"> ja kulude-tulude analüüsi.</w:t>
      </w:r>
    </w:p>
    <w:p w14:paraId="40546B8A" w14:textId="0A004EC6" w:rsidR="00571923" w:rsidRPr="005B3601" w:rsidRDefault="1FC77272" w:rsidP="00951D59">
      <w:pPr>
        <w:pStyle w:val="Loendilik"/>
        <w:numPr>
          <w:ilvl w:val="0"/>
          <w:numId w:val="2"/>
        </w:numPr>
        <w:jc w:val="both"/>
        <w:rPr>
          <w:rFonts w:eastAsiaTheme="minorEastAsia"/>
          <w:sz w:val="24"/>
          <w:szCs w:val="24"/>
        </w:rPr>
      </w:pPr>
      <w:r w:rsidRPr="1FC77272">
        <w:rPr>
          <w:rFonts w:ascii="Times New Roman" w:hAnsi="Times New Roman" w:cs="Times New Roman"/>
          <w:sz w:val="24"/>
          <w:szCs w:val="24"/>
        </w:rPr>
        <w:t>Kontrollida projekti kooskõla KHG heite vähendamise 203</w:t>
      </w:r>
      <w:r w:rsidR="000E2008">
        <w:rPr>
          <w:rFonts w:ascii="Times New Roman" w:hAnsi="Times New Roman" w:cs="Times New Roman"/>
          <w:sz w:val="24"/>
          <w:szCs w:val="24"/>
        </w:rPr>
        <w:t xml:space="preserve">0. ja 2050. aasta üldeesmärkidega. </w:t>
      </w:r>
      <w:r w:rsidRPr="1FC77272">
        <w:rPr>
          <w:rFonts w:ascii="Times New Roman" w:hAnsi="Times New Roman" w:cs="Times New Roman"/>
          <w:sz w:val="24"/>
          <w:szCs w:val="24"/>
        </w:rPr>
        <w:t xml:space="preserve">Selle osana kontrollida, kas taristu puhul, mille eluiga ulatub 2050. aastast kaugemale, toimub käitamine, hooldus ja käitusest kõrvaldamine kliimaneutraalsuse tingimustes. Vaata ka </w:t>
      </w:r>
      <w:r w:rsidR="00F87E9C">
        <w:rPr>
          <w:rFonts w:ascii="Times New Roman" w:hAnsi="Times New Roman" w:cs="Times New Roman"/>
          <w:sz w:val="24"/>
          <w:szCs w:val="24"/>
        </w:rPr>
        <w:t xml:space="preserve">Euroopa </w:t>
      </w:r>
      <w:r w:rsidRPr="1FC77272">
        <w:rPr>
          <w:rFonts w:ascii="Times New Roman" w:hAnsi="Times New Roman" w:cs="Times New Roman"/>
          <w:sz w:val="24"/>
          <w:szCs w:val="24"/>
        </w:rPr>
        <w:t xml:space="preserve">Komisjoni </w:t>
      </w:r>
      <w:r w:rsidR="00F87E9C">
        <w:rPr>
          <w:rFonts w:ascii="Times New Roman" w:hAnsi="Times New Roman" w:cs="Times New Roman"/>
          <w:sz w:val="24"/>
          <w:szCs w:val="24"/>
        </w:rPr>
        <w:t>tehniliste suuniste</w:t>
      </w:r>
      <w:r w:rsidR="00F87E9C" w:rsidRPr="1FC77272">
        <w:rPr>
          <w:rFonts w:ascii="Times New Roman" w:hAnsi="Times New Roman" w:cs="Times New Roman"/>
          <w:sz w:val="24"/>
          <w:szCs w:val="24"/>
        </w:rPr>
        <w:t xml:space="preserve"> </w:t>
      </w:r>
      <w:r w:rsidRPr="1FC77272">
        <w:rPr>
          <w:rFonts w:ascii="Times New Roman" w:hAnsi="Times New Roman" w:cs="Times New Roman"/>
          <w:sz w:val="24"/>
          <w:szCs w:val="24"/>
        </w:rPr>
        <w:t>ptk 3.2.2.5.</w:t>
      </w:r>
      <w:r w:rsidR="00F87E9C">
        <w:rPr>
          <w:rFonts w:ascii="Times New Roman" w:hAnsi="Times New Roman" w:cs="Times New Roman"/>
          <w:sz w:val="24"/>
          <w:szCs w:val="24"/>
        </w:rPr>
        <w:t xml:space="preserve"> Üldeesmärkidega kooskõla hindamisel tuleb lähtuda järgmistest tingimustest:</w:t>
      </w:r>
    </w:p>
    <w:p w14:paraId="32874E2C" w14:textId="4EE74098" w:rsidR="00571923" w:rsidRPr="005B3601" w:rsidRDefault="1FC77272" w:rsidP="1FC77272">
      <w:pPr>
        <w:pStyle w:val="Loendilik"/>
        <w:numPr>
          <w:ilvl w:val="1"/>
          <w:numId w:val="2"/>
        </w:numPr>
        <w:jc w:val="both"/>
        <w:rPr>
          <w:sz w:val="24"/>
          <w:szCs w:val="24"/>
        </w:rPr>
      </w:pPr>
      <w:r w:rsidRPr="1FC77272">
        <w:rPr>
          <w:rFonts w:ascii="Times New Roman" w:hAnsi="Times New Roman" w:cs="Times New Roman"/>
          <w:sz w:val="24"/>
          <w:szCs w:val="24"/>
        </w:rPr>
        <w:t xml:space="preserve">Taristu puhul, mille eluiga ulatub 2050. aastast kaugemale, peaks projekti elluviija kontrollima ka seda, kas näiteks käitamine, hooldus ja käitusest kõrvaldamine toimub kliimaneutraalsuse tingimustes. See võib hõlmata ringmajandusega seotud </w:t>
      </w:r>
      <w:r w:rsidRPr="1FC77272">
        <w:rPr>
          <w:rFonts w:ascii="Times New Roman" w:hAnsi="Times New Roman" w:cs="Times New Roman"/>
          <w:sz w:val="24"/>
          <w:szCs w:val="24"/>
        </w:rPr>
        <w:lastRenderedPageBreak/>
        <w:t>kaalutluste arvesse võtmist projekti arendustsükli alguses ja üleminekut taastuvatele energiaallikatele.</w:t>
      </w:r>
    </w:p>
    <w:p w14:paraId="109D7664" w14:textId="7CC8CBF8" w:rsidR="00571923" w:rsidRPr="005B3601" w:rsidRDefault="1FC77272" w:rsidP="1FC77272">
      <w:pPr>
        <w:pStyle w:val="Loendilik"/>
        <w:numPr>
          <w:ilvl w:val="1"/>
          <w:numId w:val="2"/>
        </w:numPr>
        <w:jc w:val="both"/>
        <w:rPr>
          <w:sz w:val="24"/>
          <w:szCs w:val="24"/>
        </w:rPr>
      </w:pPr>
      <w:r w:rsidRPr="1FC77272">
        <w:rPr>
          <w:rFonts w:ascii="Times New Roman" w:hAnsi="Times New Roman" w:cs="Times New Roman"/>
          <w:sz w:val="24"/>
          <w:szCs w:val="24"/>
        </w:rPr>
        <w:t>Aluseks tuleb võtta realistlikud stsenaariumid arvestades valdkondlike prognoosidega (nt elektrisõidukite osakaal, tehnoloogia areng ning selle kulutõhusus jmt).</w:t>
      </w:r>
    </w:p>
    <w:p w14:paraId="1904F2CC" w14:textId="516EBD35" w:rsidR="00571923" w:rsidRPr="005B3601" w:rsidRDefault="1FC77272" w:rsidP="1FC77272">
      <w:pPr>
        <w:pStyle w:val="Loendilik"/>
        <w:numPr>
          <w:ilvl w:val="1"/>
          <w:numId w:val="2"/>
        </w:numPr>
        <w:jc w:val="both"/>
        <w:rPr>
          <w:sz w:val="24"/>
          <w:szCs w:val="24"/>
        </w:rPr>
      </w:pPr>
      <w:r w:rsidRPr="1FC77272">
        <w:rPr>
          <w:rFonts w:ascii="Times New Roman" w:hAnsi="Times New Roman" w:cs="Times New Roman"/>
          <w:sz w:val="24"/>
          <w:szCs w:val="24"/>
        </w:rPr>
        <w:t>Olulisemad rahvusvahelised, ELi ja Eesti kokkulepped ja arengudokumendid, millele projekti kooskõla hindamisel tugineda:</w:t>
      </w:r>
    </w:p>
    <w:p w14:paraId="0FCB6A35" w14:textId="0814B2A7" w:rsidR="00571923" w:rsidRPr="005B3601" w:rsidRDefault="0C2C1919" w:rsidP="64ACFBC4">
      <w:pPr>
        <w:pStyle w:val="Loendilik"/>
        <w:numPr>
          <w:ilvl w:val="1"/>
          <w:numId w:val="3"/>
        </w:numPr>
        <w:jc w:val="both"/>
        <w:rPr>
          <w:rFonts w:eastAsiaTheme="minorEastAsia"/>
          <w:sz w:val="24"/>
          <w:szCs w:val="24"/>
        </w:rPr>
      </w:pPr>
      <w:r w:rsidRPr="64ACFBC4">
        <w:rPr>
          <w:rFonts w:ascii="Times New Roman" w:hAnsi="Times New Roman" w:cs="Times New Roman"/>
          <w:sz w:val="24"/>
          <w:szCs w:val="24"/>
        </w:rPr>
        <w:t xml:space="preserve">Pariisi </w:t>
      </w:r>
      <w:r w:rsidR="004F0678">
        <w:rPr>
          <w:rFonts w:ascii="Times New Roman" w:hAnsi="Times New Roman" w:cs="Times New Roman"/>
          <w:sz w:val="24"/>
          <w:szCs w:val="24"/>
        </w:rPr>
        <w:t>kliima</w:t>
      </w:r>
      <w:r w:rsidRPr="64ACFBC4">
        <w:rPr>
          <w:rFonts w:ascii="Times New Roman" w:hAnsi="Times New Roman" w:cs="Times New Roman"/>
          <w:sz w:val="24"/>
          <w:szCs w:val="24"/>
        </w:rPr>
        <w:t>kokkulepe - ü</w:t>
      </w:r>
      <w:r w:rsidR="64ACFBC4" w:rsidRPr="64ACFBC4">
        <w:rPr>
          <w:rFonts w:ascii="Times New Roman" w:hAnsi="Times New Roman" w:cs="Times New Roman"/>
          <w:sz w:val="24"/>
          <w:szCs w:val="24"/>
        </w:rPr>
        <w:t xml:space="preserve">lemaailmne kokkulepe, mille peamine eesmärk on hoida globaalse keskmise temperatuuri tõus eelistatult alla 1,5°C võrreldes tööstusajastueelse ajaga. </w:t>
      </w:r>
    </w:p>
    <w:p w14:paraId="103AF844" w14:textId="5451A80E" w:rsidR="00571923" w:rsidRPr="005B3601" w:rsidRDefault="0C2C1919" w:rsidP="64ACFBC4">
      <w:pPr>
        <w:pStyle w:val="Loendilik"/>
        <w:numPr>
          <w:ilvl w:val="1"/>
          <w:numId w:val="3"/>
        </w:numPr>
        <w:jc w:val="both"/>
        <w:rPr>
          <w:rFonts w:eastAsiaTheme="minorEastAsia"/>
          <w:sz w:val="24"/>
          <w:szCs w:val="24"/>
        </w:rPr>
      </w:pPr>
      <w:r w:rsidRPr="64ACFBC4">
        <w:rPr>
          <w:rFonts w:ascii="Times New Roman" w:hAnsi="Times New Roman" w:cs="Times New Roman"/>
          <w:sz w:val="24"/>
          <w:szCs w:val="24"/>
        </w:rPr>
        <w:t>Euroopa roheline kokkulepe</w:t>
      </w:r>
      <w:r w:rsidR="00F87E9C">
        <w:rPr>
          <w:rFonts w:ascii="Times New Roman" w:hAnsi="Times New Roman" w:cs="Times New Roman"/>
          <w:sz w:val="24"/>
          <w:szCs w:val="24"/>
        </w:rPr>
        <w:t>, mille</w:t>
      </w:r>
      <w:r w:rsidRPr="64ACFBC4">
        <w:rPr>
          <w:rFonts w:ascii="Times New Roman" w:hAnsi="Times New Roman" w:cs="Times New Roman"/>
          <w:sz w:val="24"/>
          <w:szCs w:val="24"/>
        </w:rPr>
        <w:t xml:space="preserve"> </w:t>
      </w:r>
      <w:r w:rsidR="64ACFBC4" w:rsidRPr="64ACFBC4">
        <w:rPr>
          <w:rFonts w:ascii="Times New Roman" w:hAnsi="Times New Roman" w:cs="Times New Roman"/>
          <w:sz w:val="24"/>
          <w:szCs w:val="24"/>
        </w:rPr>
        <w:t>eesmärgiks on saavutada Euroopa Liidus kestlik majandus ja saada 2050. aastaks esimeseks kliimaneutraalseks maailmajaoks. Tegevuskava hõlmab kõiki majandussektoreid (nt transport, energeetika, põllumajandus ja ehitus). Selles määratakse kindlaks vajalikud investeeringud ja olemasolevad rahastamisvahendid ning selgitatakse, kuidas tagada kaasav ja õiglane üleminek.</w:t>
      </w:r>
    </w:p>
    <w:p w14:paraId="595A374E" w14:textId="6DB9196A" w:rsidR="00571923" w:rsidRPr="005B3601" w:rsidRDefault="0C2C1919" w:rsidP="64ACFBC4">
      <w:pPr>
        <w:pStyle w:val="Loendilik"/>
        <w:numPr>
          <w:ilvl w:val="1"/>
          <w:numId w:val="3"/>
        </w:numPr>
        <w:jc w:val="both"/>
        <w:rPr>
          <w:rFonts w:eastAsiaTheme="minorEastAsia"/>
          <w:sz w:val="24"/>
          <w:szCs w:val="24"/>
        </w:rPr>
      </w:pPr>
      <w:r w:rsidRPr="64ACFBC4">
        <w:rPr>
          <w:rFonts w:ascii="Times New Roman" w:hAnsi="Times New Roman" w:cs="Times New Roman"/>
          <w:sz w:val="24"/>
          <w:szCs w:val="24"/>
        </w:rPr>
        <w:t xml:space="preserve">Euroopa kliimamäärus seab </w:t>
      </w:r>
      <w:r w:rsidR="64ACFBC4" w:rsidRPr="64ACFBC4">
        <w:rPr>
          <w:rFonts w:ascii="Times New Roman" w:hAnsi="Times New Roman" w:cs="Times New Roman"/>
          <w:sz w:val="24"/>
          <w:szCs w:val="24"/>
        </w:rPr>
        <w:t>eesmärgiks vähendada 2030. aastaks kasvuhoonegaaside netoheidet Euroopa Liidu üleselt -55% võrreldes 1990. aastaga ning saavutada aastaks 2050 kliimaneutraalsus, rõhutades riikide ühist koostööd nullheite saavutamisel, peamiselt läbi heitkoguste vähendamise, keskkonnahoidlikesse tehnoloogiatesse investeerimise ja looduskeskkonna kaitsmise kaudu.</w:t>
      </w:r>
    </w:p>
    <w:p w14:paraId="0A0EC2DF" w14:textId="77777777" w:rsidR="00B71AD3" w:rsidRPr="00B71AD3" w:rsidRDefault="64ACFBC4" w:rsidP="00B71AD3">
      <w:pPr>
        <w:pStyle w:val="Loendilik"/>
        <w:numPr>
          <w:ilvl w:val="1"/>
          <w:numId w:val="3"/>
        </w:numPr>
        <w:jc w:val="both"/>
        <w:rPr>
          <w:rFonts w:ascii="Times New Roman" w:eastAsia="Times New Roman" w:hAnsi="Times New Roman" w:cs="Times New Roman"/>
        </w:rPr>
      </w:pPr>
      <w:r w:rsidRPr="64ACFBC4">
        <w:rPr>
          <w:rFonts w:ascii="Times New Roman" w:eastAsia="Times New Roman" w:hAnsi="Times New Roman" w:cs="Times New Roman"/>
          <w:sz w:val="24"/>
          <w:szCs w:val="24"/>
        </w:rPr>
        <w:t xml:space="preserve">Riiklik pikaajaline arengukava „Eesti 2035“ seab sektorite ülese KHG netoheite eesmärgi </w:t>
      </w:r>
      <w:r w:rsidR="00F87E9C" w:rsidRPr="64ACFBC4">
        <w:rPr>
          <w:rFonts w:ascii="Times New Roman" w:eastAsia="Times New Roman" w:hAnsi="Times New Roman" w:cs="Times New Roman"/>
          <w:sz w:val="24"/>
          <w:szCs w:val="24"/>
        </w:rPr>
        <w:t>2035</w:t>
      </w:r>
      <w:r w:rsidR="00F87E9C">
        <w:rPr>
          <w:rFonts w:ascii="Times New Roman" w:eastAsia="Times New Roman" w:hAnsi="Times New Roman" w:cs="Times New Roman"/>
          <w:sz w:val="24"/>
          <w:szCs w:val="24"/>
        </w:rPr>
        <w:t xml:space="preserve">. </w:t>
      </w:r>
      <w:r w:rsidRPr="64ACFBC4">
        <w:rPr>
          <w:rFonts w:ascii="Times New Roman" w:eastAsia="Times New Roman" w:hAnsi="Times New Roman" w:cs="Times New Roman"/>
          <w:sz w:val="24"/>
          <w:szCs w:val="24"/>
        </w:rPr>
        <w:t>aastaks  8 mln t CO2-ekvivalenti ning riikliku kliimaneutraalsuse eesmärgi aastaks 2050.</w:t>
      </w:r>
    </w:p>
    <w:p w14:paraId="59482DB1" w14:textId="735696FC" w:rsidR="64ACFBC4" w:rsidRPr="00B71AD3" w:rsidRDefault="64ACFBC4" w:rsidP="00B71AD3">
      <w:pPr>
        <w:pStyle w:val="Loendilik"/>
        <w:numPr>
          <w:ilvl w:val="1"/>
          <w:numId w:val="3"/>
        </w:numPr>
        <w:jc w:val="both"/>
        <w:rPr>
          <w:rFonts w:ascii="Times New Roman" w:eastAsia="Times New Roman" w:hAnsi="Times New Roman" w:cs="Times New Roman"/>
        </w:rPr>
      </w:pPr>
      <w:r w:rsidRPr="00B71AD3">
        <w:rPr>
          <w:rFonts w:ascii="Times New Roman" w:eastAsia="Times New Roman" w:hAnsi="Times New Roman" w:cs="Times New Roman"/>
          <w:sz w:val="24"/>
          <w:szCs w:val="24"/>
        </w:rPr>
        <w:t>Kliimapoliitika põhialused aastani 2050 seab Eesti pikaajalise eesmärgi vähendada kasvuhoonegaaside heidet 80% aastaks 2050. Selle saavutamiseks on kokku lepitud vahe-eesmärk aastaks 2030 – vähendada heidet ligikaudu 70%. Tegemist on poliitika põhialuste dokumendiga, mille ajakohastamine on kavas, et viia see kooskõlla riiklikus pikaajalises arengukavas „Eesti 2035“ sätestatud riikliku kliimaneutraalsuse eesmärgiga.</w:t>
      </w:r>
    </w:p>
    <w:p w14:paraId="41C8F396" w14:textId="1F0B8B1E" w:rsidR="00571923" w:rsidRPr="005B3601" w:rsidRDefault="0C2C1919" w:rsidP="64ACFBC4">
      <w:pPr>
        <w:jc w:val="both"/>
        <w:rPr>
          <w:rFonts w:ascii="Times New Roman" w:hAnsi="Times New Roman" w:cs="Times New Roman"/>
          <w:sz w:val="24"/>
          <w:szCs w:val="24"/>
        </w:rPr>
      </w:pPr>
      <w:r w:rsidRPr="64ACFBC4">
        <w:rPr>
          <w:rFonts w:ascii="Times New Roman" w:hAnsi="Times New Roman" w:cs="Times New Roman"/>
          <w:sz w:val="24"/>
          <w:szCs w:val="24"/>
        </w:rPr>
        <w:t xml:space="preserve">Kõige lõpuks, kui kõik projektile kohalduvad hindamisetapid on läbitud, tuleb koostada kliimaneutraalsuse kontrollimise dokumentatsioon (dokumentatsiooni sisule esitatud nõuded on kajastatud Euroopa Komisjoni </w:t>
      </w:r>
      <w:r w:rsidR="002002D2">
        <w:rPr>
          <w:rFonts w:ascii="Times New Roman" w:hAnsi="Times New Roman" w:cs="Times New Roman"/>
          <w:sz w:val="24"/>
          <w:szCs w:val="24"/>
        </w:rPr>
        <w:t>tehniliste suuniste</w:t>
      </w:r>
      <w:r w:rsidR="002002D2" w:rsidRPr="64ACFBC4">
        <w:rPr>
          <w:rFonts w:ascii="Times New Roman" w:hAnsi="Times New Roman" w:cs="Times New Roman"/>
          <w:sz w:val="24"/>
          <w:szCs w:val="24"/>
        </w:rPr>
        <w:t xml:space="preserve"> </w:t>
      </w:r>
      <w:r w:rsidRPr="64ACFBC4">
        <w:rPr>
          <w:rFonts w:ascii="Times New Roman" w:hAnsi="Times New Roman" w:cs="Times New Roman"/>
          <w:sz w:val="24"/>
          <w:szCs w:val="24"/>
        </w:rPr>
        <w:t>lisas B)</w:t>
      </w:r>
      <w:r w:rsidR="002002D2">
        <w:rPr>
          <w:rFonts w:ascii="Times New Roman" w:hAnsi="Times New Roman" w:cs="Times New Roman"/>
          <w:sz w:val="24"/>
          <w:szCs w:val="24"/>
        </w:rPr>
        <w:t>, kus on toodud välja tulemused ning järeldused projekti vastavuse kohta kliimaeesmärkide saavutamiseks.</w:t>
      </w:r>
    </w:p>
    <w:p w14:paraId="6D91594E" w14:textId="3E238399" w:rsidR="1FC77272" w:rsidRDefault="1FC77272" w:rsidP="1FC77272">
      <w:pPr>
        <w:jc w:val="both"/>
        <w:rPr>
          <w:rFonts w:ascii="Times New Roman" w:hAnsi="Times New Roman" w:cs="Times New Roman"/>
          <w:sz w:val="24"/>
          <w:szCs w:val="24"/>
        </w:rPr>
      </w:pPr>
    </w:p>
    <w:p w14:paraId="557D8BCA" w14:textId="0D3BF2BA" w:rsidR="00AB4333" w:rsidRPr="00AB4333" w:rsidRDefault="36D3019D" w:rsidP="00DE3FDC">
      <w:pPr>
        <w:pStyle w:val="Pealkiri2"/>
      </w:pPr>
      <w:r w:rsidRPr="1FC77272">
        <w:t xml:space="preserve">Vastupanuvõime kliimamuutustele ehk kliimamuutustega kohanemine (Euroopa Komisjoni </w:t>
      </w:r>
      <w:r w:rsidR="001313F2">
        <w:t>tehniliste suuniste</w:t>
      </w:r>
      <w:r w:rsidRPr="1FC77272">
        <w:t xml:space="preserve"> p</w:t>
      </w:r>
      <w:r w:rsidR="00DE3FDC">
        <w:t>ea</w:t>
      </w:r>
      <w:r w:rsidRPr="1FC77272">
        <w:t>t</w:t>
      </w:r>
      <w:r w:rsidR="00DE3FDC">
        <w:t>ük</w:t>
      </w:r>
      <w:r w:rsidRPr="1FC77272">
        <w:t>k 3.3)</w:t>
      </w:r>
    </w:p>
    <w:p w14:paraId="1308CF1B" w14:textId="36ABFFD8" w:rsidR="008912E0" w:rsidRDefault="36D3019D" w:rsidP="36D3019D">
      <w:pPr>
        <w:jc w:val="both"/>
        <w:rPr>
          <w:rFonts w:ascii="Times New Roman" w:hAnsi="Times New Roman" w:cs="Times New Roman"/>
          <w:sz w:val="24"/>
          <w:szCs w:val="24"/>
        </w:rPr>
      </w:pPr>
      <w:r w:rsidRPr="1FC77272">
        <w:rPr>
          <w:rFonts w:ascii="Times New Roman" w:hAnsi="Times New Roman" w:cs="Times New Roman"/>
          <w:sz w:val="24"/>
          <w:szCs w:val="24"/>
        </w:rPr>
        <w:t>Kliimamuutustele vastupanuvõime hindamise eesmärgiks on teha kindlaks olulised kliimariskid, mis võivad avalduda kavandatud taristu objektile ja/või selle asukohale. Nende tuvastamine on aluseks optimaalsete kliimamuutustega kohanemise võimaluste kindlakstegemiseks, kavandamiseks ja rakendamiseks. Seeläbi saab kavandatud objektile avalduv kliimarisk viidud vastuvõetava tasemeni.</w:t>
      </w:r>
    </w:p>
    <w:p w14:paraId="7F82CA85" w14:textId="57A05457" w:rsidR="0093642C" w:rsidRDefault="0093642C" w:rsidP="36D3019D">
      <w:pPr>
        <w:jc w:val="both"/>
        <w:rPr>
          <w:rFonts w:ascii="Times New Roman" w:hAnsi="Times New Roman" w:cs="Times New Roman"/>
          <w:sz w:val="24"/>
          <w:szCs w:val="24"/>
        </w:rPr>
      </w:pPr>
    </w:p>
    <w:p w14:paraId="3CD0698B" w14:textId="77777777" w:rsidR="0093642C" w:rsidRPr="00AB4333" w:rsidRDefault="0093642C" w:rsidP="36D3019D">
      <w:pPr>
        <w:jc w:val="both"/>
        <w:rPr>
          <w:rFonts w:ascii="Times New Roman" w:hAnsi="Times New Roman" w:cs="Times New Roman"/>
          <w:sz w:val="24"/>
          <w:szCs w:val="24"/>
        </w:rPr>
      </w:pPr>
    </w:p>
    <w:p w14:paraId="3B12249D" w14:textId="72019438" w:rsidR="00AB4333" w:rsidRPr="00AB4333" w:rsidRDefault="00904F9E" w:rsidP="1FC77272">
      <w:pPr>
        <w:jc w:val="both"/>
        <w:rPr>
          <w:rStyle w:val="Allmrkuseviide"/>
          <w:rFonts w:ascii="Times New Roman" w:hAnsi="Times New Roman" w:cs="Times New Roman"/>
          <w:sz w:val="24"/>
          <w:szCs w:val="24"/>
        </w:rPr>
      </w:pPr>
      <w:r w:rsidRPr="36D3019D">
        <w:rPr>
          <w:rFonts w:ascii="Times New Roman" w:hAnsi="Times New Roman" w:cs="Times New Roman"/>
          <w:sz w:val="24"/>
          <w:szCs w:val="24"/>
        </w:rPr>
        <w:t>Kliimamuutustega kohanemise osas on kliimakindluse hindamine jagatud kahte etappi:</w:t>
      </w:r>
    </w:p>
    <w:p w14:paraId="4AE9B128" w14:textId="7DBA6F84" w:rsidR="00AB4333" w:rsidRPr="00AB4333" w:rsidRDefault="71F7DAFD" w:rsidP="00DE3FDC">
      <w:pPr>
        <w:pStyle w:val="Pealkiri3"/>
      </w:pPr>
      <w:r w:rsidRPr="64ACFBC4">
        <w:t>Etapp I</w:t>
      </w:r>
      <w:r w:rsidR="336D3B82" w:rsidRPr="64ACFBC4">
        <w:t xml:space="preserve">: </w:t>
      </w:r>
      <w:r w:rsidRPr="64ACFBC4">
        <w:t>hindamine</w:t>
      </w:r>
    </w:p>
    <w:p w14:paraId="06C6EEC0" w14:textId="75826936" w:rsidR="00AB4333" w:rsidRPr="00AB4333" w:rsidRDefault="004875B1" w:rsidP="6DC324B9">
      <w:pPr>
        <w:jc w:val="both"/>
        <w:rPr>
          <w:rFonts w:ascii="Times New Roman" w:hAnsi="Times New Roman" w:cs="Times New Roman"/>
          <w:sz w:val="24"/>
          <w:szCs w:val="24"/>
        </w:rPr>
      </w:pPr>
      <w:r>
        <w:rPr>
          <w:rFonts w:ascii="Times New Roman" w:hAnsi="Times New Roman" w:cs="Times New Roman"/>
          <w:sz w:val="24"/>
          <w:szCs w:val="24"/>
        </w:rPr>
        <w:t>Esimese etapi a</w:t>
      </w:r>
      <w:r w:rsidRPr="004875B1">
        <w:rPr>
          <w:rFonts w:ascii="Times New Roman" w:hAnsi="Times New Roman" w:cs="Times New Roman"/>
          <w:sz w:val="24"/>
          <w:szCs w:val="24"/>
        </w:rPr>
        <w:t xml:space="preserve">nalüüs koosneb kolmest </w:t>
      </w:r>
      <w:r>
        <w:rPr>
          <w:rFonts w:ascii="Times New Roman" w:hAnsi="Times New Roman" w:cs="Times New Roman"/>
          <w:sz w:val="24"/>
          <w:szCs w:val="24"/>
        </w:rPr>
        <w:t>osast</w:t>
      </w:r>
      <w:r w:rsidRPr="004875B1">
        <w:rPr>
          <w:rFonts w:ascii="Times New Roman" w:hAnsi="Times New Roman" w:cs="Times New Roman"/>
          <w:sz w:val="24"/>
          <w:szCs w:val="24"/>
        </w:rPr>
        <w:t>, mis hõlmavad kliimatundlikkuse analüüsi, praeguse ja tulevase ohule avatuse hindamist ning seejärel nende kahe kombineerimist kliima suhtes haavatavuse hindamiseks.</w:t>
      </w:r>
      <w:r>
        <w:rPr>
          <w:rFonts w:ascii="Times New Roman" w:hAnsi="Times New Roman" w:cs="Times New Roman"/>
          <w:sz w:val="24"/>
          <w:szCs w:val="24"/>
        </w:rPr>
        <w:t xml:space="preserve"> </w:t>
      </w:r>
      <w:r w:rsidR="6133DBF2" w:rsidRPr="36D3019D">
        <w:rPr>
          <w:rFonts w:ascii="Times New Roman" w:hAnsi="Times New Roman" w:cs="Times New Roman"/>
          <w:sz w:val="24"/>
          <w:szCs w:val="24"/>
        </w:rPr>
        <w:t>Esimeses etapis tuleb hinnata, kas kavandatud objekt ja/või selle asukoht on kliimamuutustele vastuvõtlik ehk kliimamuutuste suhtes haavatav</w:t>
      </w:r>
      <w:r w:rsidR="00AB4333" w:rsidRPr="6DC324B9">
        <w:rPr>
          <w:rStyle w:val="Allmrkuseviide"/>
          <w:rFonts w:ascii="Times New Roman" w:hAnsi="Times New Roman" w:cs="Times New Roman"/>
          <w:sz w:val="24"/>
          <w:szCs w:val="24"/>
        </w:rPr>
        <w:footnoteReference w:id="6"/>
      </w:r>
      <w:r w:rsidR="6133DBF2" w:rsidRPr="36D3019D">
        <w:rPr>
          <w:rFonts w:ascii="Times New Roman" w:hAnsi="Times New Roman" w:cs="Times New Roman"/>
          <w:sz w:val="24"/>
          <w:szCs w:val="24"/>
        </w:rPr>
        <w:t>. Selleks analüüsitakse objekti ja/või selle asukoha tundlikkust ja ohule avatust ehk eksponeeritust kliimateguritele</w:t>
      </w:r>
      <w:r w:rsidR="00AB4333" w:rsidRPr="36D3019D">
        <w:rPr>
          <w:rStyle w:val="Allmrkuseviide"/>
          <w:rFonts w:ascii="Times New Roman" w:hAnsi="Times New Roman" w:cs="Times New Roman"/>
          <w:sz w:val="24"/>
          <w:szCs w:val="24"/>
        </w:rPr>
        <w:footnoteReference w:id="7"/>
      </w:r>
      <w:r w:rsidR="5C7369AE" w:rsidRPr="6DC324B9">
        <w:rPr>
          <w:rFonts w:ascii="Times New Roman" w:eastAsia="Times New Roman" w:hAnsi="Times New Roman" w:cs="Times New Roman"/>
          <w:sz w:val="24"/>
          <w:szCs w:val="24"/>
        </w:rPr>
        <w:t xml:space="preserve">, kus eksponeeritus on viis, ulatus ja sagedus, kuidas kavandatud objekt selle asukohas puutub kokku kliimateguritega ning tundlikkus on määr, kui palju kliimategureid vaadeldavat süsteemi mõjutavad. </w:t>
      </w:r>
      <w:r w:rsidR="004F0678">
        <w:rPr>
          <w:rFonts w:ascii="Times New Roman" w:hAnsi="Times New Roman" w:cs="Times New Roman"/>
          <w:sz w:val="24"/>
          <w:szCs w:val="24"/>
        </w:rPr>
        <w:t>T</w:t>
      </w:r>
      <w:r w:rsidR="6133DBF2" w:rsidRPr="6DC324B9">
        <w:rPr>
          <w:rFonts w:ascii="Times New Roman" w:hAnsi="Times New Roman" w:cs="Times New Roman"/>
          <w:sz w:val="24"/>
          <w:szCs w:val="24"/>
        </w:rPr>
        <w:t xml:space="preserve">äpsemalt Euroopa Komisjoni </w:t>
      </w:r>
      <w:r w:rsidR="001313F2">
        <w:rPr>
          <w:rFonts w:ascii="Times New Roman" w:hAnsi="Times New Roman" w:cs="Times New Roman"/>
          <w:sz w:val="24"/>
          <w:szCs w:val="24"/>
        </w:rPr>
        <w:t xml:space="preserve">tehniliste suuniste </w:t>
      </w:r>
      <w:r w:rsidR="6133DBF2" w:rsidRPr="6DC324B9">
        <w:rPr>
          <w:rFonts w:ascii="Times New Roman" w:hAnsi="Times New Roman" w:cs="Times New Roman"/>
          <w:sz w:val="24"/>
          <w:szCs w:val="24"/>
        </w:rPr>
        <w:t>ptk 3.3.1.</w:t>
      </w:r>
      <w:r w:rsidR="5C7369AE" w:rsidRPr="6DC324B9">
        <w:rPr>
          <w:rFonts w:ascii="Times New Roman" w:eastAsia="Times New Roman" w:hAnsi="Times New Roman" w:cs="Times New Roman"/>
          <w:sz w:val="24"/>
          <w:szCs w:val="24"/>
        </w:rPr>
        <w:t xml:space="preserve"> </w:t>
      </w:r>
    </w:p>
    <w:p w14:paraId="3F8EBD35" w14:textId="270B4583" w:rsidR="00AB4333" w:rsidRPr="00AB4333" w:rsidRDefault="00707A31" w:rsidP="6DC324B9">
      <w:pPr>
        <w:jc w:val="both"/>
        <w:rPr>
          <w:rFonts w:ascii="Times New Roman" w:eastAsia="Times New Roman" w:hAnsi="Times New Roman" w:cs="Times New Roman"/>
          <w:sz w:val="24"/>
          <w:szCs w:val="24"/>
        </w:rPr>
      </w:pPr>
      <w:r w:rsidRPr="00707A31">
        <w:rPr>
          <w:rFonts w:ascii="Times New Roman" w:eastAsia="Times New Roman" w:hAnsi="Times New Roman" w:cs="Times New Roman"/>
          <w:sz w:val="24"/>
          <w:szCs w:val="24"/>
        </w:rPr>
        <w:t>Haavatavuse hindamise eesmärk on teha kindlaks võimalikud märkimisväärsed ohud ja nendega seotud riskid ning selle alusel tehakse otsus riskihindamise etappi liikumise kohta.</w:t>
      </w:r>
      <w:r>
        <w:rPr>
          <w:rFonts w:ascii="Times New Roman" w:eastAsia="Times New Roman" w:hAnsi="Times New Roman" w:cs="Times New Roman"/>
          <w:sz w:val="24"/>
          <w:szCs w:val="24"/>
        </w:rPr>
        <w:t xml:space="preserve"> </w:t>
      </w:r>
    </w:p>
    <w:p w14:paraId="5C124D95" w14:textId="46DA3D43" w:rsidR="00AB4333" w:rsidRPr="00AB4333" w:rsidRDefault="6133DBF2" w:rsidP="36D3019D">
      <w:pPr>
        <w:jc w:val="both"/>
        <w:rPr>
          <w:rFonts w:ascii="Times New Roman" w:hAnsi="Times New Roman" w:cs="Times New Roman"/>
          <w:sz w:val="24"/>
          <w:szCs w:val="24"/>
        </w:rPr>
      </w:pPr>
      <w:r w:rsidRPr="36D3019D">
        <w:rPr>
          <w:rFonts w:ascii="Times New Roman" w:hAnsi="Times New Roman" w:cs="Times New Roman"/>
          <w:sz w:val="24"/>
          <w:szCs w:val="24"/>
        </w:rPr>
        <w:t>Kui selles etapis tuvastatakse märkimisväärseid kliimariske</w:t>
      </w:r>
      <w:r w:rsidR="00DA3B3F">
        <w:rPr>
          <w:rFonts w:ascii="Times New Roman" w:hAnsi="Times New Roman" w:cs="Times New Roman"/>
          <w:sz w:val="24"/>
          <w:szCs w:val="24"/>
        </w:rPr>
        <w:t xml:space="preserve"> (kliimamuutujad ja -ohud, </w:t>
      </w:r>
      <w:r w:rsidR="00707A31" w:rsidRPr="6DC324B9">
        <w:rPr>
          <w:rFonts w:ascii="Times New Roman" w:eastAsia="Times New Roman" w:hAnsi="Times New Roman" w:cs="Times New Roman"/>
          <w:sz w:val="24"/>
          <w:szCs w:val="24"/>
        </w:rPr>
        <w:t xml:space="preserve">mis on tundlikkuse ja/või eksponeerituse analüüsis </w:t>
      </w:r>
      <w:r w:rsidR="00707A31">
        <w:rPr>
          <w:rFonts w:ascii="Times New Roman" w:eastAsia="Times New Roman" w:hAnsi="Times New Roman" w:cs="Times New Roman"/>
          <w:sz w:val="24"/>
          <w:szCs w:val="24"/>
        </w:rPr>
        <w:t xml:space="preserve">liigitatud </w:t>
      </w:r>
      <w:r w:rsidR="004875B1">
        <w:rPr>
          <w:rFonts w:ascii="Times New Roman" w:hAnsi="Times New Roman" w:cs="Times New Roman"/>
          <w:sz w:val="24"/>
          <w:szCs w:val="24"/>
        </w:rPr>
        <w:t xml:space="preserve">keskmiseks või </w:t>
      </w:r>
      <w:r w:rsidR="00DA3B3F">
        <w:rPr>
          <w:rFonts w:ascii="Times New Roman" w:hAnsi="Times New Roman" w:cs="Times New Roman"/>
          <w:sz w:val="24"/>
          <w:szCs w:val="24"/>
        </w:rPr>
        <w:t>suur</w:t>
      </w:r>
      <w:r w:rsidR="00707A31">
        <w:rPr>
          <w:rFonts w:ascii="Times New Roman" w:hAnsi="Times New Roman" w:cs="Times New Roman"/>
          <w:sz w:val="24"/>
          <w:szCs w:val="24"/>
        </w:rPr>
        <w:t>eks</w:t>
      </w:r>
      <w:r w:rsidR="00DA3B3F">
        <w:rPr>
          <w:rFonts w:ascii="Times New Roman" w:hAnsi="Times New Roman" w:cs="Times New Roman"/>
          <w:sz w:val="24"/>
          <w:szCs w:val="24"/>
        </w:rPr>
        <w:t>)</w:t>
      </w:r>
      <w:r w:rsidRPr="36D3019D">
        <w:rPr>
          <w:rFonts w:ascii="Times New Roman" w:hAnsi="Times New Roman" w:cs="Times New Roman"/>
          <w:sz w:val="24"/>
          <w:szCs w:val="24"/>
        </w:rPr>
        <w:t>, mis nõuavad edasist põhjalikumat analüüsi, siis tuleb edasi liikuda järgmisesse etappi ehk üksikasjaliku analüüsi etappi</w:t>
      </w:r>
      <w:r w:rsidR="00AB4333" w:rsidRPr="36D3019D">
        <w:rPr>
          <w:rStyle w:val="Allmrkuseviide"/>
          <w:rFonts w:ascii="Times New Roman" w:hAnsi="Times New Roman" w:cs="Times New Roman"/>
          <w:sz w:val="24"/>
          <w:szCs w:val="24"/>
        </w:rPr>
        <w:footnoteReference w:id="8"/>
      </w:r>
      <w:r w:rsidRPr="36D3019D">
        <w:rPr>
          <w:rFonts w:ascii="Times New Roman" w:hAnsi="Times New Roman" w:cs="Times New Roman"/>
          <w:sz w:val="24"/>
          <w:szCs w:val="24"/>
        </w:rPr>
        <w:t xml:space="preserve">. </w:t>
      </w:r>
      <w:r w:rsidR="00707A31">
        <w:rPr>
          <w:rFonts w:ascii="Times New Roman" w:hAnsi="Times New Roman" w:cs="Times New Roman"/>
          <w:sz w:val="24"/>
          <w:szCs w:val="24"/>
        </w:rPr>
        <w:t xml:space="preserve">Kui hindamise tulemusena jõutakse järeldusele, et </w:t>
      </w:r>
      <w:r w:rsidR="004875B1">
        <w:rPr>
          <w:rFonts w:ascii="Times New Roman" w:hAnsi="Times New Roman" w:cs="Times New Roman"/>
          <w:sz w:val="24"/>
          <w:szCs w:val="24"/>
        </w:rPr>
        <w:t xml:space="preserve">võimalikud kliimamuutujad ja -ohud on pigem ebaolulised või väikesed, siis võib hindamise 1.etapiga lõpetada. </w:t>
      </w:r>
      <w:r w:rsidR="004875B1">
        <w:rPr>
          <w:rFonts w:ascii="Times New Roman" w:eastAsia="Times New Roman" w:hAnsi="Times New Roman" w:cs="Times New Roman"/>
          <w:sz w:val="24"/>
          <w:szCs w:val="24"/>
        </w:rPr>
        <w:t>Analüüsi tulemused võib esitada kokkuvõtlikult tabelis koos selgituste ja põhjendustega kuidas järeldusteni jõuti.</w:t>
      </w:r>
    </w:p>
    <w:p w14:paraId="7FE32815" w14:textId="36EB1425" w:rsidR="00AB4333" w:rsidRPr="00AB4333" w:rsidRDefault="00571923" w:rsidP="00DE3FDC">
      <w:pPr>
        <w:pStyle w:val="Pealkiri3"/>
      </w:pPr>
      <w:r w:rsidRPr="36D3019D">
        <w:t>Etapp II</w:t>
      </w:r>
      <w:r w:rsidR="002056C0" w:rsidRPr="36D3019D">
        <w:t xml:space="preserve">: </w:t>
      </w:r>
      <w:r w:rsidRPr="36D3019D">
        <w:t>üksikasjalik analüüs</w:t>
      </w:r>
    </w:p>
    <w:p w14:paraId="601D866A" w14:textId="3D6D1AE4" w:rsidR="00AB4333" w:rsidRPr="00AB4333" w:rsidRDefault="6133DBF2" w:rsidP="36D3019D">
      <w:pPr>
        <w:jc w:val="both"/>
        <w:rPr>
          <w:rFonts w:ascii="Times New Roman" w:hAnsi="Times New Roman" w:cs="Times New Roman"/>
          <w:sz w:val="24"/>
          <w:szCs w:val="24"/>
        </w:rPr>
      </w:pPr>
      <w:r w:rsidRPr="64ACFBC4">
        <w:rPr>
          <w:rFonts w:ascii="Times New Roman" w:hAnsi="Times New Roman" w:cs="Times New Roman"/>
          <w:sz w:val="24"/>
          <w:szCs w:val="24"/>
        </w:rPr>
        <w:t xml:space="preserve">Teises etapis viiakse läbi juba üksikasjalikum kavandatud objektile potentsiaalselt avalduvate kliimariskide hindamine vastavalt Euroopa Komisjoni </w:t>
      </w:r>
      <w:r w:rsidR="00DA3B3F">
        <w:rPr>
          <w:rFonts w:ascii="Times New Roman" w:hAnsi="Times New Roman" w:cs="Times New Roman"/>
          <w:sz w:val="24"/>
          <w:szCs w:val="24"/>
        </w:rPr>
        <w:t>tehnilistele</w:t>
      </w:r>
      <w:r w:rsidRPr="64ACFBC4">
        <w:rPr>
          <w:rFonts w:ascii="Times New Roman" w:hAnsi="Times New Roman" w:cs="Times New Roman"/>
          <w:sz w:val="24"/>
          <w:szCs w:val="24"/>
        </w:rPr>
        <w:t xml:space="preserve"> suunistele (vt ptk 3.3.2)</w:t>
      </w:r>
      <w:r w:rsidR="004875B1">
        <w:rPr>
          <w:rFonts w:ascii="Times New Roman" w:hAnsi="Times New Roman" w:cs="Times New Roman"/>
          <w:sz w:val="24"/>
          <w:szCs w:val="24"/>
        </w:rPr>
        <w:t xml:space="preserve">. Selle käigustuleb </w:t>
      </w:r>
      <w:r w:rsidRPr="64ACFBC4">
        <w:rPr>
          <w:rFonts w:ascii="Times New Roman" w:hAnsi="Times New Roman" w:cs="Times New Roman"/>
          <w:sz w:val="24"/>
          <w:szCs w:val="24"/>
        </w:rPr>
        <w:t>leida optimaalseid kohanemisvõimalusi ja –meetmeid tagamaks vastupanuvõime kliimamuutustele.</w:t>
      </w:r>
    </w:p>
    <w:p w14:paraId="3807A103" w14:textId="6D9A8AFE" w:rsidR="6DC324B9" w:rsidRDefault="00DA3B3F" w:rsidP="6DC324B9">
      <w:pPr>
        <w:jc w:val="both"/>
        <w:rPr>
          <w:rFonts w:ascii="Times New Roman" w:hAnsi="Times New Roman" w:cs="Times New Roman"/>
          <w:sz w:val="24"/>
          <w:szCs w:val="24"/>
        </w:rPr>
      </w:pPr>
      <w:r>
        <w:rPr>
          <w:rFonts w:ascii="Times New Roman" w:hAnsi="Times New Roman" w:cs="Times New Roman"/>
          <w:sz w:val="24"/>
          <w:szCs w:val="24"/>
        </w:rPr>
        <w:t xml:space="preserve">Läbi tuleb viia </w:t>
      </w:r>
      <w:r w:rsidR="6DC324B9" w:rsidRPr="1FC77272">
        <w:rPr>
          <w:rFonts w:ascii="Times New Roman" w:hAnsi="Times New Roman" w:cs="Times New Roman"/>
          <w:sz w:val="24"/>
          <w:szCs w:val="24"/>
        </w:rPr>
        <w:t>põhjalik kliimariski hindamise protsess kvantifitseerimaks kavandatud objektiga seotud riskide suurus</w:t>
      </w:r>
      <w:r>
        <w:rPr>
          <w:rFonts w:ascii="Times New Roman" w:hAnsi="Times New Roman" w:cs="Times New Roman"/>
          <w:sz w:val="24"/>
          <w:szCs w:val="24"/>
        </w:rPr>
        <w:t>t</w:t>
      </w:r>
      <w:r w:rsidR="6DC324B9" w:rsidRPr="1FC77272">
        <w:rPr>
          <w:rFonts w:ascii="Times New Roman" w:hAnsi="Times New Roman" w:cs="Times New Roman"/>
          <w:sz w:val="24"/>
          <w:szCs w:val="24"/>
        </w:rPr>
        <w:t xml:space="preserve"> </w:t>
      </w:r>
      <w:r>
        <w:rPr>
          <w:rFonts w:ascii="Times New Roman" w:hAnsi="Times New Roman" w:cs="Times New Roman"/>
          <w:sz w:val="24"/>
          <w:szCs w:val="24"/>
        </w:rPr>
        <w:t xml:space="preserve">praeguse </w:t>
      </w:r>
      <w:r w:rsidR="6DC324B9" w:rsidRPr="1FC77272">
        <w:rPr>
          <w:rFonts w:ascii="Times New Roman" w:hAnsi="Times New Roman" w:cs="Times New Roman"/>
          <w:sz w:val="24"/>
          <w:szCs w:val="24"/>
        </w:rPr>
        <w:t>kliima ja tuleviku kliima tingimustes. Analüüsitakse riski realiseerumise tõenäosust nt projekti eluea jooksul, kliimaohu avaldumise mõju ja kahjuliku toime avaldumise riski ning tehakse kindlaks kohanemisvõimalused. Kohanemisvõimaluste hindamise ja kavandamise tulemusena saab ette näha juba väga konkreetseid kohanemismeetmeid, mis tuleks lõimida taristu objekti kavandamisesse ja/või elluviimisesse eesmärgiga suurendada selle objekti vastupanuvõimet muutuvale kliimale.</w:t>
      </w:r>
    </w:p>
    <w:p w14:paraId="6338195C" w14:textId="32CD04C1" w:rsidR="6DC324B9" w:rsidRDefault="5C7369AE" w:rsidP="6DC324B9">
      <w:pPr>
        <w:jc w:val="both"/>
        <w:rPr>
          <w:rFonts w:ascii="Times New Roman" w:hAnsi="Times New Roman" w:cs="Times New Roman"/>
          <w:sz w:val="24"/>
          <w:szCs w:val="24"/>
        </w:rPr>
      </w:pPr>
      <w:r w:rsidRPr="64ACFBC4">
        <w:rPr>
          <w:rFonts w:ascii="Times New Roman" w:hAnsi="Times New Roman" w:cs="Times New Roman"/>
          <w:sz w:val="24"/>
          <w:szCs w:val="24"/>
        </w:rPr>
        <w:t xml:space="preserve">Selles etapis tuleks hinnata ka taristuobjekti ja kavandatud kohanemismeetmete vastavust kliimamuutustega kohanemist käsitletavate ELi, riiklikele, piirkondlikele ja/või kohalikele </w:t>
      </w:r>
      <w:r w:rsidRPr="64ACFBC4">
        <w:rPr>
          <w:rFonts w:ascii="Times New Roman" w:hAnsi="Times New Roman" w:cs="Times New Roman"/>
          <w:sz w:val="24"/>
          <w:szCs w:val="24"/>
        </w:rPr>
        <w:lastRenderedPageBreak/>
        <w:t>strateegili</w:t>
      </w:r>
      <w:r w:rsidR="00790013">
        <w:rPr>
          <w:rFonts w:ascii="Times New Roman" w:hAnsi="Times New Roman" w:cs="Times New Roman"/>
          <w:sz w:val="24"/>
          <w:szCs w:val="24"/>
        </w:rPr>
        <w:t xml:space="preserve">stele planeerimisdokumentidele </w:t>
      </w:r>
      <w:r w:rsidRPr="64ACFBC4">
        <w:rPr>
          <w:rFonts w:ascii="Times New Roman" w:hAnsi="Times New Roman" w:cs="Times New Roman"/>
          <w:sz w:val="24"/>
          <w:szCs w:val="24"/>
        </w:rPr>
        <w:t>ning anda hinnang regulaarse seire ja järelkontrolli vajaduse kohta.</w:t>
      </w:r>
    </w:p>
    <w:p w14:paraId="2A7B0E9F" w14:textId="5CD31CBF" w:rsidR="00AB4333" w:rsidRPr="00AB4333" w:rsidRDefault="6DC324B9" w:rsidP="1FC77272">
      <w:pPr>
        <w:jc w:val="both"/>
        <w:rPr>
          <w:rFonts w:ascii="Times New Roman" w:hAnsi="Times New Roman" w:cs="Times New Roman"/>
          <w:i/>
          <w:iCs/>
          <w:sz w:val="24"/>
          <w:szCs w:val="24"/>
        </w:rPr>
      </w:pPr>
      <w:r w:rsidRPr="1FC77272">
        <w:rPr>
          <w:rFonts w:ascii="Times New Roman" w:hAnsi="Times New Roman" w:cs="Times New Roman"/>
          <w:sz w:val="24"/>
          <w:szCs w:val="24"/>
        </w:rPr>
        <w:t xml:space="preserve">Kõige lõpuks tuleb koostada dokumentatsioon ja teha kokkuvõte läbiviidud kliimamuutustele vastupidavuse tagamise analüüsist (kliimamuutustele vastupanuvõime hindamise avaldus, dokumentatsiooni sisule esitatud nõuded on esitatud Euroopa Komisjoni </w:t>
      </w:r>
      <w:r w:rsidR="00DA3B3F">
        <w:rPr>
          <w:rFonts w:ascii="Times New Roman" w:hAnsi="Times New Roman" w:cs="Times New Roman"/>
          <w:sz w:val="24"/>
          <w:szCs w:val="24"/>
        </w:rPr>
        <w:t>tehniliste suuniste</w:t>
      </w:r>
      <w:r w:rsidRPr="1FC77272">
        <w:rPr>
          <w:rFonts w:ascii="Times New Roman" w:hAnsi="Times New Roman" w:cs="Times New Roman"/>
          <w:sz w:val="24"/>
          <w:szCs w:val="24"/>
        </w:rPr>
        <w:t xml:space="preserve"> lisas B).</w:t>
      </w:r>
    </w:p>
    <w:p w14:paraId="07C6BFDB" w14:textId="4E670AE4" w:rsidR="00AB4333" w:rsidRPr="00AB4333" w:rsidRDefault="6133DBF2" w:rsidP="36D3019D">
      <w:pPr>
        <w:jc w:val="both"/>
        <w:rPr>
          <w:rFonts w:ascii="Times New Roman" w:eastAsia="Times New Roman" w:hAnsi="Times New Roman" w:cs="Times New Roman"/>
          <w:sz w:val="24"/>
          <w:szCs w:val="24"/>
        </w:rPr>
      </w:pPr>
      <w:r w:rsidRPr="64ACFBC4">
        <w:rPr>
          <w:rFonts w:ascii="Times New Roman" w:hAnsi="Times New Roman" w:cs="Times New Roman"/>
          <w:sz w:val="24"/>
          <w:szCs w:val="24"/>
        </w:rPr>
        <w:t xml:space="preserve">Tuleb tähele panna, et taristu objekti kliimamuutustele vastuvõtlikkuse ja kliimariskide hindamisel vaadeldav ajavahemik ning hindamise aluseks valitud kliimaprojektsioon peaks vastama kavandatava objekti </w:t>
      </w:r>
      <w:r w:rsidRPr="64ACFBC4">
        <w:rPr>
          <w:rFonts w:ascii="Times New Roman" w:hAnsi="Times New Roman" w:cs="Times New Roman"/>
          <w:b/>
          <w:bCs/>
          <w:sz w:val="24"/>
          <w:szCs w:val="24"/>
        </w:rPr>
        <w:t>eeldatavale elueale</w:t>
      </w:r>
      <w:r w:rsidRPr="64ACFBC4">
        <w:rPr>
          <w:rFonts w:ascii="Times New Roman" w:hAnsi="Times New Roman" w:cs="Times New Roman"/>
          <w:sz w:val="24"/>
          <w:szCs w:val="24"/>
        </w:rPr>
        <w:t xml:space="preserve">. Euroopa standardites kasutatakse objekti eluea iseloomustamiseks mõistet </w:t>
      </w:r>
      <w:r w:rsidRPr="64ACFBC4">
        <w:rPr>
          <w:rFonts w:ascii="Times New Roman" w:hAnsi="Times New Roman" w:cs="Times New Roman"/>
          <w:i/>
          <w:iCs/>
          <w:sz w:val="24"/>
          <w:szCs w:val="24"/>
        </w:rPr>
        <w:t xml:space="preserve">arvutuslik tööiga. </w:t>
      </w:r>
      <w:r w:rsidRPr="64ACFBC4">
        <w:rPr>
          <w:rFonts w:ascii="Times New Roman" w:eastAsia="Times New Roman" w:hAnsi="Times New Roman" w:cs="Times New Roman"/>
          <w:sz w:val="24"/>
          <w:szCs w:val="24"/>
        </w:rPr>
        <w:t>Taristu püsib tavaliselt kaua ja võib paljude aastate vältel olla avatud muutuvatele ilmaoludele, millel on üha kahjulikum ja sagedamini äärmuslik ilmastiku- ja kliimamõju.</w:t>
      </w:r>
    </w:p>
    <w:p w14:paraId="53B961EA" w14:textId="5F67F17E" w:rsidR="00AB4333" w:rsidRPr="00AB4333" w:rsidRDefault="6133DBF2" w:rsidP="6DC324B9">
      <w:pPr>
        <w:jc w:val="both"/>
        <w:rPr>
          <w:rFonts w:ascii="Times New Roman" w:hAnsi="Times New Roman" w:cs="Times New Roman"/>
          <w:sz w:val="24"/>
          <w:szCs w:val="24"/>
        </w:rPr>
      </w:pPr>
      <w:r w:rsidRPr="64ACFBC4">
        <w:rPr>
          <w:rFonts w:ascii="Times New Roman" w:hAnsi="Times New Roman" w:cs="Times New Roman"/>
          <w:sz w:val="24"/>
          <w:szCs w:val="24"/>
        </w:rPr>
        <w:t xml:space="preserve">Lisaks Euroopa Komisjoni </w:t>
      </w:r>
      <w:r w:rsidR="00DA3B3F">
        <w:rPr>
          <w:rFonts w:ascii="Times New Roman" w:hAnsi="Times New Roman" w:cs="Times New Roman"/>
          <w:sz w:val="24"/>
          <w:szCs w:val="24"/>
        </w:rPr>
        <w:t>tehnilistes</w:t>
      </w:r>
      <w:r w:rsidR="00DA3B3F" w:rsidRPr="64ACFBC4">
        <w:rPr>
          <w:rFonts w:ascii="Times New Roman" w:hAnsi="Times New Roman" w:cs="Times New Roman"/>
          <w:sz w:val="24"/>
          <w:szCs w:val="24"/>
        </w:rPr>
        <w:t xml:space="preserve"> </w:t>
      </w:r>
      <w:r w:rsidRPr="64ACFBC4">
        <w:rPr>
          <w:rFonts w:ascii="Times New Roman" w:hAnsi="Times New Roman" w:cs="Times New Roman"/>
          <w:sz w:val="24"/>
          <w:szCs w:val="24"/>
        </w:rPr>
        <w:t xml:space="preserve">suunistes toodud abistavale andmestikule kliimariski ja kliimamuutustele vastuvõtlikkuse analüüsi tegemiseks </w:t>
      </w:r>
      <w:r w:rsidR="00DA3B3F">
        <w:rPr>
          <w:rFonts w:ascii="Times New Roman" w:hAnsi="Times New Roman" w:cs="Times New Roman"/>
          <w:sz w:val="24"/>
          <w:szCs w:val="24"/>
        </w:rPr>
        <w:t>on võimalik lähtuda</w:t>
      </w:r>
      <w:r w:rsidRPr="64ACFBC4">
        <w:rPr>
          <w:rFonts w:ascii="Times New Roman" w:hAnsi="Times New Roman" w:cs="Times New Roman"/>
          <w:sz w:val="24"/>
          <w:szCs w:val="24"/>
        </w:rPr>
        <w:t xml:space="preserve"> ka Eesti-põhis</w:t>
      </w:r>
      <w:r w:rsidR="00DA3B3F">
        <w:rPr>
          <w:rFonts w:ascii="Times New Roman" w:hAnsi="Times New Roman" w:cs="Times New Roman"/>
          <w:sz w:val="24"/>
          <w:szCs w:val="24"/>
        </w:rPr>
        <w:t>test</w:t>
      </w:r>
      <w:r w:rsidRPr="64ACFBC4">
        <w:rPr>
          <w:rFonts w:ascii="Times New Roman" w:hAnsi="Times New Roman" w:cs="Times New Roman"/>
          <w:sz w:val="24"/>
          <w:szCs w:val="24"/>
        </w:rPr>
        <w:t xml:space="preserve"> andmeallika</w:t>
      </w:r>
      <w:r w:rsidR="00DA3B3F">
        <w:rPr>
          <w:rFonts w:ascii="Times New Roman" w:hAnsi="Times New Roman" w:cs="Times New Roman"/>
          <w:sz w:val="24"/>
          <w:szCs w:val="24"/>
        </w:rPr>
        <w:t>test</w:t>
      </w:r>
      <w:r w:rsidRPr="64ACFBC4">
        <w:rPr>
          <w:rFonts w:ascii="Times New Roman" w:hAnsi="Times New Roman" w:cs="Times New Roman"/>
          <w:sz w:val="24"/>
          <w:szCs w:val="24"/>
        </w:rPr>
        <w:t>:</w:t>
      </w:r>
    </w:p>
    <w:p w14:paraId="4611184C" w14:textId="604BDEC9" w:rsidR="00AB4333" w:rsidRPr="00AB4333" w:rsidRDefault="00B6257E" w:rsidP="64ACFBC4">
      <w:pPr>
        <w:pStyle w:val="Loendilik"/>
        <w:numPr>
          <w:ilvl w:val="0"/>
          <w:numId w:val="5"/>
        </w:numPr>
        <w:jc w:val="both"/>
        <w:rPr>
          <w:rFonts w:eastAsiaTheme="minorEastAsia"/>
          <w:sz w:val="24"/>
          <w:szCs w:val="24"/>
        </w:rPr>
      </w:pPr>
      <w:hyperlink r:id="rId12">
        <w:r w:rsidR="6133DBF2" w:rsidRPr="64ACFBC4">
          <w:rPr>
            <w:rStyle w:val="Hperlink"/>
            <w:rFonts w:ascii="Times New Roman" w:hAnsi="Times New Roman" w:cs="Times New Roman"/>
            <w:sz w:val="24"/>
            <w:szCs w:val="24"/>
          </w:rPr>
          <w:t>Kliimamuutustega kohanemise arengukava aastani 2030</w:t>
        </w:r>
      </w:hyperlink>
      <w:r w:rsidR="6133DBF2" w:rsidRPr="64ACFBC4">
        <w:rPr>
          <w:rFonts w:ascii="Times New Roman" w:hAnsi="Times New Roman" w:cs="Times New Roman"/>
          <w:sz w:val="24"/>
          <w:szCs w:val="24"/>
        </w:rPr>
        <w:t xml:space="preserve"> ja selle alusuuringud, mis käsitlevad põhjalikumalt kliimariski hindamisi eri valdkondade lõikes (</w:t>
      </w:r>
      <w:hyperlink r:id="rId13">
        <w:r w:rsidR="6133DBF2" w:rsidRPr="64ACFBC4">
          <w:rPr>
            <w:rStyle w:val="Hperlink"/>
            <w:rFonts w:ascii="Times New Roman" w:hAnsi="Times New Roman" w:cs="Times New Roman"/>
            <w:sz w:val="24"/>
            <w:szCs w:val="24"/>
          </w:rPr>
          <w:t>energeetika, taristu, ehitised</w:t>
        </w:r>
      </w:hyperlink>
      <w:r w:rsidR="6133DBF2" w:rsidRPr="64ACFBC4">
        <w:rPr>
          <w:rFonts w:ascii="Times New Roman" w:hAnsi="Times New Roman" w:cs="Times New Roman"/>
          <w:sz w:val="24"/>
          <w:szCs w:val="24"/>
        </w:rPr>
        <w:t xml:space="preserve">; </w:t>
      </w:r>
      <w:hyperlink r:id="rId14">
        <w:r w:rsidR="6133DBF2" w:rsidRPr="64ACFBC4">
          <w:rPr>
            <w:rStyle w:val="Hperlink"/>
            <w:rFonts w:ascii="Times New Roman" w:hAnsi="Times New Roman" w:cs="Times New Roman"/>
            <w:sz w:val="24"/>
            <w:szCs w:val="24"/>
          </w:rPr>
          <w:t>looduskeskkond ja biomajandus</w:t>
        </w:r>
      </w:hyperlink>
      <w:r w:rsidR="6133DBF2" w:rsidRPr="64ACFBC4">
        <w:rPr>
          <w:rFonts w:ascii="Times New Roman" w:hAnsi="Times New Roman" w:cs="Times New Roman"/>
          <w:sz w:val="24"/>
          <w:szCs w:val="24"/>
        </w:rPr>
        <w:t xml:space="preserve">; </w:t>
      </w:r>
      <w:hyperlink r:id="rId15">
        <w:r w:rsidR="6133DBF2" w:rsidRPr="64ACFBC4">
          <w:rPr>
            <w:rStyle w:val="Hperlink"/>
            <w:rFonts w:ascii="Times New Roman" w:hAnsi="Times New Roman" w:cs="Times New Roman"/>
            <w:sz w:val="24"/>
            <w:szCs w:val="24"/>
          </w:rPr>
          <w:t>planeeringud, tervis ja päästevõimekus</w:t>
        </w:r>
      </w:hyperlink>
      <w:r w:rsidR="64ACFBC4" w:rsidRPr="64ACFBC4">
        <w:rPr>
          <w:rFonts w:ascii="Times New Roman" w:hAnsi="Times New Roman" w:cs="Times New Roman"/>
          <w:sz w:val="24"/>
          <w:szCs w:val="24"/>
        </w:rPr>
        <w:t xml:space="preserve">; </w:t>
      </w:r>
      <w:hyperlink r:id="rId16">
        <w:r w:rsidR="64ACFBC4" w:rsidRPr="64ACFBC4">
          <w:rPr>
            <w:rStyle w:val="Hperlink"/>
            <w:rFonts w:ascii="Times New Roman" w:hAnsi="Times New Roman" w:cs="Times New Roman"/>
            <w:sz w:val="24"/>
            <w:szCs w:val="24"/>
          </w:rPr>
          <w:t>majandus, ühiskond, teadlikkus, koostöö</w:t>
        </w:r>
      </w:hyperlink>
      <w:r w:rsidR="64ACFBC4" w:rsidRPr="64ACFBC4">
        <w:rPr>
          <w:rFonts w:ascii="Times New Roman" w:hAnsi="Times New Roman" w:cs="Times New Roman"/>
          <w:sz w:val="24"/>
          <w:szCs w:val="24"/>
        </w:rPr>
        <w:t>)</w:t>
      </w:r>
    </w:p>
    <w:p w14:paraId="136E2816" w14:textId="1BF7CA9A" w:rsidR="00AB4333" w:rsidRPr="00AB4333" w:rsidRDefault="00B6257E" w:rsidP="6DC324B9">
      <w:pPr>
        <w:pStyle w:val="Loendilik"/>
        <w:numPr>
          <w:ilvl w:val="0"/>
          <w:numId w:val="5"/>
        </w:numPr>
        <w:jc w:val="both"/>
        <w:rPr>
          <w:sz w:val="24"/>
          <w:szCs w:val="24"/>
        </w:rPr>
      </w:pPr>
      <w:hyperlink r:id="rId17">
        <w:r w:rsidR="6133DBF2" w:rsidRPr="64ACFBC4">
          <w:rPr>
            <w:rStyle w:val="Hperlink"/>
            <w:rFonts w:ascii="Times New Roman" w:hAnsi="Times New Roman" w:cs="Times New Roman"/>
            <w:sz w:val="24"/>
            <w:szCs w:val="24"/>
          </w:rPr>
          <w:t>Eesti tuleviku kliimastsenaariumid aastani 2100</w:t>
        </w:r>
      </w:hyperlink>
      <w:r w:rsidR="6133DBF2" w:rsidRPr="64ACFBC4">
        <w:rPr>
          <w:rFonts w:ascii="Times New Roman" w:hAnsi="Times New Roman" w:cs="Times New Roman"/>
          <w:sz w:val="24"/>
          <w:szCs w:val="24"/>
        </w:rPr>
        <w:t>, mis tugineb IPCC viienda hindamisaruande AR5 KHG kontsentratsiooni stsenaariumitele RCP 4.5 ja RCP 8.5. IPCC kuuenda hindamisaruande-kohaseid Eesti tulevikukliima kliimaprojektsioone asutakse uuendama 2023.aastal.</w:t>
      </w:r>
    </w:p>
    <w:p w14:paraId="34F7640D" w14:textId="53F1ADFE" w:rsidR="00AB4333" w:rsidRPr="00AB4333" w:rsidRDefault="6133DBF2" w:rsidP="6DC324B9">
      <w:pPr>
        <w:pStyle w:val="Loendilik"/>
        <w:numPr>
          <w:ilvl w:val="0"/>
          <w:numId w:val="5"/>
        </w:numPr>
        <w:jc w:val="both"/>
        <w:rPr>
          <w:sz w:val="24"/>
          <w:szCs w:val="24"/>
        </w:rPr>
      </w:pPr>
      <w:r w:rsidRPr="64ACFBC4">
        <w:rPr>
          <w:rFonts w:ascii="Times New Roman" w:hAnsi="Times New Roman" w:cs="Times New Roman"/>
          <w:sz w:val="24"/>
          <w:szCs w:val="24"/>
        </w:rPr>
        <w:t xml:space="preserve">Kohalike kliimariskide kohta saab infot KOVide kliima-ja energiakavadest, täpsem info kohalike omavalitsuste kodulehelt, ka </w:t>
      </w:r>
      <w:hyperlink r:id="rId18">
        <w:r w:rsidRPr="64ACFBC4">
          <w:rPr>
            <w:rStyle w:val="Hperlink"/>
            <w:rFonts w:ascii="Times New Roman" w:hAnsi="Times New Roman" w:cs="Times New Roman"/>
            <w:sz w:val="24"/>
            <w:szCs w:val="24"/>
          </w:rPr>
          <w:t>minuomavalitsus.ee veebilehel</w:t>
        </w:r>
      </w:hyperlink>
      <w:r w:rsidRPr="64ACFBC4">
        <w:rPr>
          <w:rFonts w:ascii="Times New Roman" w:hAnsi="Times New Roman" w:cs="Times New Roman"/>
          <w:sz w:val="24"/>
          <w:szCs w:val="24"/>
        </w:rPr>
        <w:t xml:space="preserve"> keskkonnaandmete alajaotuse all näidatakse KOVid, kellel on koostatud kohalikud kliima-ja energiakavad ja/või sellega võrdustatud dokumendid</w:t>
      </w:r>
    </w:p>
    <w:p w14:paraId="6BBB590D" w14:textId="2C8E8F26" w:rsidR="00AB4333" w:rsidRPr="00AB4333" w:rsidRDefault="00B6257E" w:rsidP="6DC324B9">
      <w:pPr>
        <w:pStyle w:val="Loendilik"/>
        <w:numPr>
          <w:ilvl w:val="0"/>
          <w:numId w:val="5"/>
        </w:numPr>
        <w:jc w:val="both"/>
        <w:rPr>
          <w:sz w:val="24"/>
          <w:szCs w:val="24"/>
        </w:rPr>
      </w:pPr>
      <w:hyperlink r:id="rId19">
        <w:r w:rsidR="6133DBF2" w:rsidRPr="64ACFBC4">
          <w:rPr>
            <w:rStyle w:val="Hperlink"/>
            <w:rFonts w:ascii="Times New Roman" w:hAnsi="Times New Roman" w:cs="Times New Roman"/>
            <w:sz w:val="24"/>
            <w:szCs w:val="24"/>
          </w:rPr>
          <w:t>Üleujutusriskiga alade</w:t>
        </w:r>
      </w:hyperlink>
      <w:r w:rsidR="6133DBF2" w:rsidRPr="64ACFBC4">
        <w:rPr>
          <w:rFonts w:ascii="Times New Roman" w:hAnsi="Times New Roman" w:cs="Times New Roman"/>
          <w:sz w:val="24"/>
          <w:szCs w:val="24"/>
        </w:rPr>
        <w:t xml:space="preserve"> ja linnade </w:t>
      </w:r>
      <w:hyperlink r:id="rId20">
        <w:r w:rsidR="6133DBF2" w:rsidRPr="64ACFBC4">
          <w:rPr>
            <w:rStyle w:val="Hperlink"/>
            <w:rFonts w:ascii="Times New Roman" w:hAnsi="Times New Roman" w:cs="Times New Roman"/>
            <w:sz w:val="24"/>
            <w:szCs w:val="24"/>
          </w:rPr>
          <w:t>soojussaarte kaardimaterjal</w:t>
        </w:r>
      </w:hyperlink>
      <w:r w:rsidR="6133DBF2" w:rsidRPr="64ACFBC4">
        <w:rPr>
          <w:rFonts w:ascii="Times New Roman" w:hAnsi="Times New Roman" w:cs="Times New Roman"/>
          <w:sz w:val="24"/>
          <w:szCs w:val="24"/>
        </w:rPr>
        <w:t xml:space="preserve">. </w:t>
      </w:r>
      <w:hyperlink r:id="rId21">
        <w:r w:rsidR="6133DBF2" w:rsidRPr="64ACFBC4">
          <w:rPr>
            <w:rStyle w:val="Hperlink"/>
            <w:rFonts w:ascii="Times New Roman" w:hAnsi="Times New Roman" w:cs="Times New Roman"/>
            <w:sz w:val="24"/>
            <w:szCs w:val="24"/>
          </w:rPr>
          <w:t>Üleujutusohuga alade riskihinnangud</w:t>
        </w:r>
      </w:hyperlink>
      <w:r w:rsidR="6133DBF2" w:rsidRPr="64ACFBC4">
        <w:rPr>
          <w:rFonts w:ascii="Times New Roman" w:hAnsi="Times New Roman" w:cs="Times New Roman"/>
          <w:sz w:val="24"/>
          <w:szCs w:val="24"/>
        </w:rPr>
        <w:t>.</w:t>
      </w:r>
    </w:p>
    <w:p w14:paraId="465079C4" w14:textId="3A5DC60A" w:rsidR="00AB4333" w:rsidRPr="00AB4333" w:rsidRDefault="6133DBF2" w:rsidP="1FC77272">
      <w:pPr>
        <w:pStyle w:val="Loendilik"/>
        <w:numPr>
          <w:ilvl w:val="0"/>
          <w:numId w:val="5"/>
        </w:numPr>
        <w:jc w:val="both"/>
        <w:rPr>
          <w:sz w:val="24"/>
          <w:szCs w:val="24"/>
        </w:rPr>
      </w:pPr>
      <w:r w:rsidRPr="64ACFBC4">
        <w:rPr>
          <w:rFonts w:ascii="Times New Roman" w:hAnsi="Times New Roman" w:cs="Times New Roman"/>
          <w:sz w:val="24"/>
          <w:szCs w:val="24"/>
        </w:rPr>
        <w:t>Hea näide</w:t>
      </w:r>
      <w:r w:rsidR="00DA3B3F">
        <w:rPr>
          <w:rFonts w:ascii="Times New Roman" w:hAnsi="Times New Roman" w:cs="Times New Roman"/>
          <w:sz w:val="24"/>
          <w:szCs w:val="24"/>
        </w:rPr>
        <w:t xml:space="preserve"> on</w:t>
      </w:r>
      <w:r w:rsidRPr="64ACFBC4">
        <w:rPr>
          <w:rFonts w:ascii="Times New Roman" w:hAnsi="Times New Roman" w:cs="Times New Roman"/>
          <w:sz w:val="24"/>
          <w:szCs w:val="24"/>
        </w:rPr>
        <w:t xml:space="preserve"> </w:t>
      </w:r>
      <w:hyperlink r:id="rId22">
        <w:r w:rsidRPr="64ACFBC4">
          <w:rPr>
            <w:rStyle w:val="Hperlink"/>
            <w:rFonts w:ascii="Times New Roman" w:hAnsi="Times New Roman" w:cs="Times New Roman"/>
            <w:sz w:val="24"/>
            <w:szCs w:val="24"/>
          </w:rPr>
          <w:t>Rail Baltic kliimamuutustele vastupidavuse analüüs</w:t>
        </w:r>
      </w:hyperlink>
    </w:p>
    <w:p w14:paraId="23B8A66D" w14:textId="282AD720" w:rsidR="00AB4333" w:rsidRPr="00AB4333" w:rsidRDefault="00AB4333" w:rsidP="36D3019D">
      <w:pPr>
        <w:jc w:val="both"/>
        <w:rPr>
          <w:rFonts w:ascii="Times New Roman" w:hAnsi="Times New Roman" w:cs="Times New Roman"/>
          <w:i/>
          <w:iCs/>
          <w:sz w:val="24"/>
          <w:szCs w:val="24"/>
        </w:rPr>
      </w:pPr>
    </w:p>
    <w:p w14:paraId="0B30E341" w14:textId="0CFA00D4" w:rsidR="64ACFBC4" w:rsidRDefault="64ACFBC4">
      <w:r>
        <w:br w:type="page"/>
      </w:r>
    </w:p>
    <w:p w14:paraId="59F28B5F" w14:textId="194B8D5B" w:rsidR="00AB4333" w:rsidRPr="00AB4333" w:rsidRDefault="5FB53A3C" w:rsidP="00200D98">
      <w:pPr>
        <w:pStyle w:val="Pealkiri1"/>
      </w:pPr>
      <w:r w:rsidRPr="64ACFBC4">
        <w:lastRenderedPageBreak/>
        <w:t>Seosed KSH/KMH menetlustega</w:t>
      </w:r>
    </w:p>
    <w:p w14:paraId="4A7C6765" w14:textId="25BC056B" w:rsidR="00AB4333" w:rsidRDefault="5FB53A3C" w:rsidP="64ACFBC4">
      <w:pPr>
        <w:spacing w:line="257" w:lineRule="auto"/>
        <w:jc w:val="both"/>
        <w:rPr>
          <w:rFonts w:ascii="Times New Roman" w:hAnsi="Times New Roman" w:cs="Times New Roman"/>
          <w:sz w:val="24"/>
          <w:szCs w:val="24"/>
        </w:rPr>
      </w:pPr>
      <w:r w:rsidRPr="64ACFBC4">
        <w:rPr>
          <w:rFonts w:ascii="Times New Roman" w:hAnsi="Times New Roman" w:cs="Times New Roman"/>
          <w:sz w:val="24"/>
          <w:szCs w:val="24"/>
        </w:rPr>
        <w:t>Kui taristuobjekti kavandamiseks on vaja koostada strateegiline planeerimisdokument (koos KSH-ga) ja/või taristuobjekti kavandamiseks tuleb viia läbi</w:t>
      </w:r>
      <w:r w:rsidR="64ACFBC4" w:rsidRPr="64ACFBC4">
        <w:rPr>
          <w:rFonts w:ascii="Times New Roman" w:hAnsi="Times New Roman" w:cs="Times New Roman"/>
          <w:sz w:val="24"/>
          <w:szCs w:val="24"/>
        </w:rPr>
        <w:t xml:space="preserve"> </w:t>
      </w:r>
      <w:r w:rsidRPr="64ACFBC4">
        <w:rPr>
          <w:rFonts w:ascii="Times New Roman" w:hAnsi="Times New Roman" w:cs="Times New Roman"/>
          <w:sz w:val="24"/>
          <w:szCs w:val="24"/>
        </w:rPr>
        <w:t xml:space="preserve">KMH, on mõistlik kliimakindluse hindamine nende menetlustega integreerida. </w:t>
      </w:r>
      <w:r w:rsidR="71F7DAFD" w:rsidRPr="64ACFBC4">
        <w:rPr>
          <w:rFonts w:ascii="Times New Roman" w:hAnsi="Times New Roman" w:cs="Times New Roman"/>
          <w:sz w:val="24"/>
          <w:szCs w:val="24"/>
        </w:rPr>
        <w:t>K</w:t>
      </w:r>
      <w:r w:rsidRPr="64ACFBC4">
        <w:rPr>
          <w:rFonts w:ascii="Times New Roman" w:hAnsi="Times New Roman" w:cs="Times New Roman"/>
          <w:sz w:val="24"/>
          <w:szCs w:val="24"/>
        </w:rPr>
        <w:t>liimamuutuste leevendamise ja k</w:t>
      </w:r>
      <w:r w:rsidR="71F7DAFD" w:rsidRPr="64ACFBC4">
        <w:rPr>
          <w:rFonts w:ascii="Times New Roman" w:hAnsi="Times New Roman" w:cs="Times New Roman"/>
          <w:sz w:val="24"/>
          <w:szCs w:val="24"/>
        </w:rPr>
        <w:t xml:space="preserve">liimamuutustega kohanemise etapid saab ühildada vastavate KSH/KMH etappidega: etapi I (hindamine) KSH/KMH programmi etapiga ning etapi II (üksikasjalik analüüs) KSH/KMH aruande etapiga. Sellise lähenemise korral on vajalik kaasata KSH/KMH eksperdirühma ka kliimamõju hindamise valdkonna ekspert/eksperdid. Lisaks üldisele menetlusefektiivsusele ja ressursitõhususele on oluliseks lisandväärtuseks KSH/KMH materjalide avalikustamine, mille raames on kõigil võimalik tutvuda ka kliimakindluse hindamise tulemustega ning esitada omapoolset tagasisidet. </w:t>
      </w:r>
    </w:p>
    <w:p w14:paraId="4E325E2E" w14:textId="22534F23" w:rsidR="00AB4333" w:rsidRDefault="5FB53A3C" w:rsidP="64ACFBC4">
      <w:pPr>
        <w:spacing w:line="257" w:lineRule="auto"/>
        <w:jc w:val="both"/>
        <w:rPr>
          <w:rFonts w:ascii="Times New Roman" w:hAnsi="Times New Roman" w:cs="Times New Roman"/>
          <w:sz w:val="24"/>
          <w:szCs w:val="24"/>
        </w:rPr>
      </w:pPr>
      <w:r w:rsidRPr="64ACFBC4">
        <w:rPr>
          <w:rFonts w:ascii="Times New Roman" w:hAnsi="Times New Roman" w:cs="Times New Roman"/>
          <w:sz w:val="24"/>
          <w:szCs w:val="24"/>
        </w:rPr>
        <w:t xml:space="preserve">Kui taristuobjekti kavandamisega seoses on juba varasemalt KSH ja/või KMH teostatud, aga nendes pole kliimamõju hinnatud Euroopa Komisjoni </w:t>
      </w:r>
      <w:r w:rsidR="0071557F">
        <w:rPr>
          <w:rFonts w:ascii="Times New Roman" w:hAnsi="Times New Roman" w:cs="Times New Roman"/>
          <w:sz w:val="24"/>
          <w:szCs w:val="24"/>
        </w:rPr>
        <w:t>tehnilistele suunistele</w:t>
      </w:r>
      <w:r w:rsidR="0071557F" w:rsidRPr="64ACFBC4">
        <w:rPr>
          <w:rFonts w:ascii="Times New Roman" w:hAnsi="Times New Roman" w:cs="Times New Roman"/>
          <w:sz w:val="24"/>
          <w:szCs w:val="24"/>
        </w:rPr>
        <w:t xml:space="preserve"> </w:t>
      </w:r>
      <w:r w:rsidRPr="64ACFBC4">
        <w:rPr>
          <w:rFonts w:ascii="Times New Roman" w:hAnsi="Times New Roman" w:cs="Times New Roman"/>
          <w:sz w:val="24"/>
          <w:szCs w:val="24"/>
        </w:rPr>
        <w:t xml:space="preserve">vastavalt, tuleb lisaks olemasolevatele KSH/KMH materjalidele viia läbi kliimakindluse hindamine ning koostada eraldi kliimakindluse tagamise </w:t>
      </w:r>
      <w:r w:rsidR="6133F46D" w:rsidRPr="64ACFBC4">
        <w:rPr>
          <w:rFonts w:ascii="Times New Roman" w:hAnsi="Times New Roman" w:cs="Times New Roman"/>
          <w:sz w:val="24"/>
          <w:szCs w:val="24"/>
        </w:rPr>
        <w:t xml:space="preserve">dokumentatsioon (juhul, kui see on programmi poolt nõutud). </w:t>
      </w:r>
    </w:p>
    <w:p w14:paraId="4A435601" w14:textId="6A306D04" w:rsidR="00AB4333" w:rsidRDefault="6133F46D" w:rsidP="00C51AB1">
      <w:pPr>
        <w:jc w:val="both"/>
        <w:rPr>
          <w:rFonts w:ascii="Times New Roman" w:hAnsi="Times New Roman" w:cs="Times New Roman"/>
          <w:sz w:val="24"/>
          <w:szCs w:val="24"/>
        </w:rPr>
      </w:pPr>
      <w:r w:rsidRPr="64ACFBC4">
        <w:rPr>
          <w:rFonts w:ascii="Times New Roman" w:hAnsi="Times New Roman" w:cs="Times New Roman"/>
          <w:sz w:val="24"/>
          <w:szCs w:val="24"/>
        </w:rPr>
        <w:t>Kui kavandatavale taristuprojektile kohandub kliimakindluse nõue, tuleb kliimakindluse hindamine ning kliimakindluse tagamise dokumentatsioon koostada ka olukorras, kui KSH ja/või KMH teostamine ei ole nõutud. Sellisel juhul viiakse kliimakindluse hindamine läbi eraldiseisva protsessina.</w:t>
      </w:r>
    </w:p>
    <w:p w14:paraId="0D0B940D" w14:textId="77777777" w:rsidR="008E68CE" w:rsidRDefault="008E68CE" w:rsidP="00C51AB1">
      <w:pPr>
        <w:jc w:val="both"/>
        <w:rPr>
          <w:rFonts w:ascii="Times New Roman" w:hAnsi="Times New Roman" w:cs="Times New Roman"/>
          <w:sz w:val="24"/>
          <w:szCs w:val="24"/>
        </w:rPr>
      </w:pPr>
    </w:p>
    <w:p w14:paraId="001C5695" w14:textId="710FBB38" w:rsidR="64ACFBC4" w:rsidRDefault="64ACFBC4" w:rsidP="00200D98">
      <w:pPr>
        <w:pStyle w:val="Pealkiri1"/>
      </w:pPr>
      <w:r w:rsidRPr="64ACFBC4">
        <w:t xml:space="preserve">Kliimakindluse ja KSH/KMH seoste käsitlus Euroopa Komisjoni </w:t>
      </w:r>
      <w:r w:rsidR="0071557F">
        <w:t>tehnilistes suunistes</w:t>
      </w:r>
    </w:p>
    <w:p w14:paraId="0C3E2351" w14:textId="017F0935" w:rsidR="64ACFBC4" w:rsidRDefault="64ACFBC4" w:rsidP="64ACFBC4">
      <w:pPr>
        <w:spacing w:line="257" w:lineRule="auto"/>
        <w:jc w:val="both"/>
        <w:rPr>
          <w:rFonts w:ascii="Times New Roman" w:hAnsi="Times New Roman" w:cs="Times New Roman"/>
          <w:sz w:val="24"/>
          <w:szCs w:val="24"/>
        </w:rPr>
      </w:pPr>
      <w:r w:rsidRPr="64ACFBC4">
        <w:rPr>
          <w:rFonts w:ascii="Times New Roman" w:eastAsia="Times New Roman" w:hAnsi="Times New Roman" w:cs="Times New Roman"/>
          <w:sz w:val="24"/>
          <w:szCs w:val="24"/>
        </w:rPr>
        <w:t xml:space="preserve">Ülevaade projektitsükli juhtimisest ning keskkonna-alastest hindamistest (KSH/KMH) on toodud </w:t>
      </w:r>
      <w:r w:rsidR="0C2C1919" w:rsidRPr="64ACFBC4">
        <w:rPr>
          <w:rFonts w:ascii="Times New Roman" w:hAnsi="Times New Roman" w:cs="Times New Roman"/>
          <w:sz w:val="24"/>
          <w:szCs w:val="24"/>
        </w:rPr>
        <w:t>Euroopa Komisjoni kliimakindluse</w:t>
      </w:r>
      <w:r w:rsidR="0071557F">
        <w:rPr>
          <w:rFonts w:ascii="Times New Roman" w:hAnsi="Times New Roman" w:cs="Times New Roman"/>
          <w:sz w:val="24"/>
          <w:szCs w:val="24"/>
        </w:rPr>
        <w:t xml:space="preserve"> tehniliste suuniste</w:t>
      </w:r>
      <w:r w:rsidRPr="64ACFBC4">
        <w:rPr>
          <w:rFonts w:ascii="Times New Roman" w:eastAsia="Times New Roman" w:hAnsi="Times New Roman" w:cs="Times New Roman"/>
          <w:sz w:val="24"/>
          <w:szCs w:val="24"/>
        </w:rPr>
        <w:t xml:space="preserve"> </w:t>
      </w:r>
      <w:r w:rsidR="0071557F">
        <w:rPr>
          <w:rFonts w:ascii="Times New Roman" w:eastAsia="Times New Roman" w:hAnsi="Times New Roman" w:cs="Times New Roman"/>
          <w:sz w:val="24"/>
          <w:szCs w:val="24"/>
        </w:rPr>
        <w:t>lisa C t</w:t>
      </w:r>
      <w:r w:rsidRPr="64ACFBC4">
        <w:rPr>
          <w:rFonts w:ascii="Times New Roman" w:eastAsia="Times New Roman" w:hAnsi="Times New Roman" w:cs="Times New Roman"/>
          <w:sz w:val="24"/>
          <w:szCs w:val="24"/>
        </w:rPr>
        <w:t xml:space="preserve">abelis 11. </w:t>
      </w:r>
    </w:p>
    <w:p w14:paraId="6C632A28" w14:textId="2360C448" w:rsidR="64ACFBC4" w:rsidRDefault="64ACFBC4" w:rsidP="64ACFBC4">
      <w:pPr>
        <w:spacing w:line="257" w:lineRule="auto"/>
        <w:jc w:val="both"/>
      </w:pPr>
      <w:r w:rsidRPr="64ACFBC4">
        <w:rPr>
          <w:rFonts w:ascii="Times New Roman" w:eastAsia="Times New Roman" w:hAnsi="Times New Roman" w:cs="Times New Roman"/>
          <w:sz w:val="24"/>
          <w:szCs w:val="24"/>
        </w:rPr>
        <w:t xml:space="preserve">Kliimakindluse tagamise ja KMH vahelisi seoseid on põhjalikumalt käsitletud juhendi lisas D. Tabelis 12 on antud ülevaade kliimamuutuste integreerimisest KMH protsessi põhietappidesse (KMH menetluse ülesehitus ning peamised kaalutlused etappide lõikes). Näiteid kliimamuutuste integreerimiseks KMH-sse (erinevad viisid, kriitilise tähtsusega ülesanded, kliimamuutustega seotud mõjude hindamine KMH raames) on selgitatud lisas D.4. Näited olulistest küsimustest kliimamuutuste leevendamise ning kliimamuutustega kohanemise kohta keskkonnamõju hindamisel on toodud vastavalt tabelites 13 ja 14. </w:t>
      </w:r>
    </w:p>
    <w:p w14:paraId="01634297" w14:textId="552F039E" w:rsidR="64ACFBC4" w:rsidRDefault="64ACFBC4" w:rsidP="64ACFBC4">
      <w:pPr>
        <w:spacing w:line="257" w:lineRule="auto"/>
        <w:jc w:val="both"/>
      </w:pPr>
      <w:r w:rsidRPr="64ACFBC4">
        <w:rPr>
          <w:rFonts w:ascii="Times New Roman" w:eastAsia="Times New Roman" w:hAnsi="Times New Roman" w:cs="Times New Roman"/>
          <w:sz w:val="24"/>
          <w:szCs w:val="24"/>
        </w:rPr>
        <w:t>Analoogsed selgitused ning näited kliimakindluse tagamine ja keskkonnamõju strateegiline hindamise kohta on toodud juhendi lisas E.</w:t>
      </w:r>
    </w:p>
    <w:p w14:paraId="4D9CAACD" w14:textId="1AB70C05" w:rsidR="64ACFBC4" w:rsidRDefault="64ACFBC4" w:rsidP="64ACFBC4">
      <w:pPr>
        <w:jc w:val="both"/>
        <w:rPr>
          <w:rFonts w:ascii="Times New Roman" w:hAnsi="Times New Roman" w:cs="Times New Roman"/>
          <w:sz w:val="24"/>
          <w:szCs w:val="24"/>
        </w:rPr>
      </w:pPr>
    </w:p>
    <w:p w14:paraId="5BDEBCA3" w14:textId="59267745" w:rsidR="00AB4333" w:rsidRPr="00C51AB1" w:rsidRDefault="00AB4333" w:rsidP="1FC77272">
      <w:pPr>
        <w:jc w:val="both"/>
        <w:rPr>
          <w:rFonts w:ascii="Times New Roman" w:hAnsi="Times New Roman" w:cs="Times New Roman"/>
          <w:sz w:val="24"/>
          <w:szCs w:val="24"/>
        </w:rPr>
      </w:pPr>
    </w:p>
    <w:p w14:paraId="44EAFD9C" w14:textId="3D96FB7D" w:rsidR="00AB4333" w:rsidRPr="00C51AB1" w:rsidRDefault="00AB4333" w:rsidP="1FC77272">
      <w:pPr>
        <w:jc w:val="both"/>
        <w:rPr>
          <w:rFonts w:ascii="Times New Roman" w:hAnsi="Times New Roman" w:cs="Times New Roman"/>
          <w:sz w:val="24"/>
          <w:szCs w:val="24"/>
        </w:rPr>
      </w:pPr>
    </w:p>
    <w:p w14:paraId="4B94D5A5" w14:textId="77777777" w:rsidR="006323CD" w:rsidRPr="004F0953" w:rsidRDefault="006323CD">
      <w:pPr>
        <w:rPr>
          <w:rFonts w:ascii="Times New Roman" w:hAnsi="Times New Roman" w:cs="Times New Roman"/>
          <w:b/>
          <w:sz w:val="24"/>
          <w:szCs w:val="24"/>
        </w:rPr>
      </w:pPr>
    </w:p>
    <w:sectPr w:rsidR="006323CD" w:rsidRPr="004F0953">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9DD2" w14:textId="77777777" w:rsidR="00444DC2" w:rsidRDefault="008F7CA3">
      <w:pPr>
        <w:spacing w:after="0" w:line="240" w:lineRule="auto"/>
      </w:pPr>
      <w:r>
        <w:separator/>
      </w:r>
    </w:p>
  </w:endnote>
  <w:endnote w:type="continuationSeparator" w:id="0">
    <w:p w14:paraId="56DB9282" w14:textId="77777777" w:rsidR="00444DC2" w:rsidRDefault="008F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quot;Times New Roman&quot;,serif">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24010"/>
      <w:docPartObj>
        <w:docPartGallery w:val="Page Numbers (Bottom of Page)"/>
        <w:docPartUnique/>
      </w:docPartObj>
    </w:sdtPr>
    <w:sdtEndPr/>
    <w:sdtContent>
      <w:p w14:paraId="0145E6FB" w14:textId="2B38D155" w:rsidR="00200D98" w:rsidRDefault="00200D98">
        <w:pPr>
          <w:pStyle w:val="Jalus"/>
          <w:jc w:val="right"/>
        </w:pPr>
        <w:r>
          <w:fldChar w:fldCharType="begin"/>
        </w:r>
        <w:r>
          <w:instrText>PAGE   \* MERGEFORMAT</w:instrText>
        </w:r>
        <w:r>
          <w:fldChar w:fldCharType="separate"/>
        </w:r>
        <w:r>
          <w:t>2</w:t>
        </w:r>
        <w:r>
          <w:fldChar w:fldCharType="end"/>
        </w:r>
      </w:p>
    </w:sdtContent>
  </w:sdt>
  <w:p w14:paraId="101D60C4" w14:textId="77777777" w:rsidR="00200D98" w:rsidRDefault="00200D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5F5E" w14:textId="6A926B83" w:rsidR="36D3019D" w:rsidRDefault="36D3019D">
      <w:pPr>
        <w:spacing w:after="0" w:line="240" w:lineRule="auto"/>
      </w:pPr>
      <w:r>
        <w:separator/>
      </w:r>
    </w:p>
  </w:footnote>
  <w:footnote w:type="continuationSeparator" w:id="0">
    <w:p w14:paraId="7D222E80" w14:textId="32BBFD03" w:rsidR="36D3019D" w:rsidRDefault="36D3019D">
      <w:pPr>
        <w:spacing w:after="0" w:line="240" w:lineRule="auto"/>
      </w:pPr>
      <w:r>
        <w:continuationSeparator/>
      </w:r>
    </w:p>
  </w:footnote>
  <w:footnote w:id="1">
    <w:p w14:paraId="540220D5" w14:textId="0190D92D" w:rsidR="004A2823" w:rsidRPr="00984B9A" w:rsidRDefault="004A2823" w:rsidP="00CC614B">
      <w:pPr>
        <w:pStyle w:val="Allmrkusetekst"/>
        <w:jc w:val="both"/>
        <w:rPr>
          <w:rFonts w:ascii="Times New Roman" w:hAnsi="Times New Roman" w:cs="Times New Roman"/>
        </w:rPr>
      </w:pPr>
      <w:r w:rsidRPr="00984B9A">
        <w:rPr>
          <w:rStyle w:val="Allmrkuseviide"/>
          <w:rFonts w:ascii="Times New Roman" w:hAnsi="Times New Roman" w:cs="Times New Roman"/>
        </w:rPr>
        <w:footnoteRef/>
      </w:r>
      <w:r w:rsidRPr="00984B9A">
        <w:rPr>
          <w:rFonts w:ascii="Times New Roman" w:hAnsi="Times New Roman" w:cs="Times New Roman"/>
        </w:rPr>
        <w:t xml:space="preserve"> Euroopa Parlamendi ja nõukogu määrus (EL) 2021/1060, 24. juuni 2021,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317, 9.12.2019, lk. 1–16: </w:t>
      </w:r>
      <w:hyperlink r:id="rId1" w:history="1">
        <w:r w:rsidRPr="00984B9A">
          <w:rPr>
            <w:rStyle w:val="Hperlink"/>
            <w:rFonts w:ascii="Times New Roman" w:hAnsi="Times New Roman" w:cs="Times New Roman"/>
          </w:rPr>
          <w:t>https://eur-lex.europa.eu/legal-content/ET/TXT/?uri=CELEX:32021R1060</w:t>
        </w:r>
      </w:hyperlink>
    </w:p>
  </w:footnote>
  <w:footnote w:id="2">
    <w:p w14:paraId="395D355C" w14:textId="4AE41E09" w:rsidR="004A2823" w:rsidRDefault="004A2823" w:rsidP="00CC614B">
      <w:pPr>
        <w:pStyle w:val="Allmrkusetekst"/>
        <w:jc w:val="both"/>
      </w:pPr>
      <w:r w:rsidRPr="00984B9A">
        <w:rPr>
          <w:rStyle w:val="Allmrkuseviide"/>
          <w:rFonts w:ascii="Times New Roman" w:hAnsi="Times New Roman" w:cs="Times New Roman"/>
        </w:rPr>
        <w:footnoteRef/>
      </w:r>
      <w:r w:rsidRPr="00984B9A">
        <w:rPr>
          <w:rFonts w:ascii="Times New Roman" w:hAnsi="Times New Roman" w:cs="Times New Roman"/>
        </w:rPr>
        <w:t xml:space="preserve"> Komisjoni teatis  2021/C 373/01 „Taristu kliimakindluse tagamise tehniliste suunised aastateks 2021–2027“, ELT C 373, 16.9.2021, lk. 1–92: </w:t>
      </w:r>
      <w:hyperlink r:id="rId2" w:history="1">
        <w:r w:rsidR="009E65A1" w:rsidRPr="00984B9A">
          <w:rPr>
            <w:rStyle w:val="Hperlink"/>
            <w:rFonts w:ascii="Times New Roman" w:hAnsi="Times New Roman" w:cs="Times New Roman"/>
          </w:rPr>
          <w:t>https://eur-lex.europa.eu/legal-content/ET/TXT/PDF/?uri=CELEX:52021XC0916(03)&amp;from=EN</w:t>
        </w:r>
      </w:hyperlink>
    </w:p>
  </w:footnote>
  <w:footnote w:id="3">
    <w:p w14:paraId="7155F442" w14:textId="355CC478" w:rsidR="00AC2669" w:rsidRDefault="00AC2669">
      <w:pPr>
        <w:pStyle w:val="Allmrkusetekst"/>
      </w:pPr>
      <w:r w:rsidRPr="00DE3FDC">
        <w:rPr>
          <w:rStyle w:val="Allmrkuseviide"/>
        </w:rPr>
        <w:footnoteRef/>
      </w:r>
      <w:r w:rsidRPr="00DE3FDC">
        <w:t xml:space="preserve"> </w:t>
      </w:r>
      <w:r w:rsidR="00CA1DD1" w:rsidRPr="00DE3FDC">
        <w:t>Keskkonnavaldkonna ekspert või konsultant, kellel on süsiniku jalajälje</w:t>
      </w:r>
      <w:r w:rsidR="00621D47" w:rsidRPr="00DE3FDC">
        <w:t xml:space="preserve"> ja/või kasvuhoonegaaside</w:t>
      </w:r>
      <w:r w:rsidR="00EF6F88" w:rsidRPr="00DE3FDC">
        <w:t xml:space="preserve"> (KHG)</w:t>
      </w:r>
      <w:r w:rsidR="00621D47" w:rsidRPr="00DE3FDC">
        <w:t xml:space="preserve"> heite</w:t>
      </w:r>
      <w:r w:rsidR="00CA1DD1" w:rsidRPr="00DE3FDC">
        <w:t xml:space="preserve"> ning kliima</w:t>
      </w:r>
      <w:r w:rsidR="00DD38B8" w:rsidRPr="00DE3FDC">
        <w:t xml:space="preserve">muutuste </w:t>
      </w:r>
      <w:r w:rsidR="00CA1DD1" w:rsidRPr="00DE3FDC">
        <w:t>mõju hindamise kogemus.</w:t>
      </w:r>
      <w:r w:rsidR="00621D47" w:rsidRPr="00DE3FDC">
        <w:t xml:space="preserve"> KMH litsents pole </w:t>
      </w:r>
      <w:r w:rsidR="008F7A7A" w:rsidRPr="00DE3FDC">
        <w:t>kohustuslik</w:t>
      </w:r>
      <w:r w:rsidR="00621D47" w:rsidRPr="00DE3FDC">
        <w:t xml:space="preserve">, kuid vajalik on </w:t>
      </w:r>
      <w:r w:rsidR="00594D0B" w:rsidRPr="00DE3FDC">
        <w:t xml:space="preserve">ametialane pädevus ja </w:t>
      </w:r>
      <w:r w:rsidR="00621D47" w:rsidRPr="00DE3FDC">
        <w:t>varasem kliimamõjude hindamiste/analüüside läbiviimise kogemus.</w:t>
      </w:r>
      <w:r w:rsidR="00DD38B8" w:rsidRPr="00DE3FDC">
        <w:t xml:space="preserve"> Süsiniku jalajälje hindajatel ei pruugi alati olla kliimamuutuste mõju hindamise pädevust, mistõttu võib olla vajalik enam kui ühe eksperdi kaasamine. </w:t>
      </w:r>
    </w:p>
  </w:footnote>
  <w:footnote w:id="4">
    <w:p w14:paraId="1D1C68E9" w14:textId="22C79D0A" w:rsidR="00DD20BD" w:rsidRPr="00DD20BD" w:rsidRDefault="00DD20BD" w:rsidP="00DD20BD">
      <w:pPr>
        <w:rPr>
          <w:sz w:val="20"/>
          <w:szCs w:val="20"/>
        </w:rPr>
      </w:pPr>
      <w:r w:rsidRPr="00DD20BD">
        <w:rPr>
          <w:rStyle w:val="Allmrkuseviide"/>
          <w:sz w:val="20"/>
          <w:szCs w:val="20"/>
        </w:rPr>
        <w:footnoteRef/>
      </w:r>
      <w:r w:rsidRPr="00DD20BD">
        <w:rPr>
          <w:sz w:val="20"/>
          <w:szCs w:val="20"/>
        </w:rPr>
        <w:t xml:space="preserve"> Eesti riigispetsiifilised eriheitetegurid on leitavad siit: </w:t>
      </w:r>
      <w:hyperlink r:id="rId3" w:history="1">
        <w:r w:rsidRPr="00DD20BD">
          <w:rPr>
            <w:rStyle w:val="Hperlink"/>
            <w:sz w:val="20"/>
            <w:szCs w:val="20"/>
          </w:rPr>
          <w:t>https://test.kasvuhoonegaasid.ee/</w:t>
        </w:r>
      </w:hyperlink>
      <w:r w:rsidRPr="00DD20BD">
        <w:rPr>
          <w:sz w:val="20"/>
          <w:szCs w:val="20"/>
        </w:rPr>
        <w:t xml:space="preserve"> </w:t>
      </w:r>
      <w:r w:rsidRPr="00DD20BD">
        <w:rPr>
          <w:rFonts w:ascii="Wingdings" w:hAnsi="Wingdings"/>
          <w:sz w:val="20"/>
          <w:szCs w:val="20"/>
        </w:rPr>
        <w:t>è</w:t>
      </w:r>
      <w:r w:rsidRPr="00DD20BD">
        <w:rPr>
          <w:sz w:val="20"/>
          <w:szCs w:val="20"/>
        </w:rPr>
        <w:t xml:space="preserve"> energy sector </w:t>
      </w:r>
      <w:r w:rsidRPr="00DD20BD">
        <w:rPr>
          <w:rFonts w:ascii="Wingdings" w:hAnsi="Wingdings"/>
          <w:sz w:val="20"/>
          <w:szCs w:val="20"/>
        </w:rPr>
        <w:t>è</w:t>
      </w:r>
      <w:r w:rsidRPr="00DD20BD">
        <w:rPr>
          <w:sz w:val="20"/>
          <w:szCs w:val="20"/>
        </w:rPr>
        <w:t xml:space="preserve"> Electricity emission factors või Heat production emission factor (NB! Lehekülg võib täieneda).</w:t>
      </w:r>
    </w:p>
  </w:footnote>
  <w:footnote w:id="5">
    <w:p w14:paraId="5C900D76" w14:textId="34D7353E" w:rsidR="64ACFBC4" w:rsidRDefault="64ACFBC4" w:rsidP="64ACFBC4">
      <w:pPr>
        <w:pStyle w:val="Allmrkusetekst"/>
      </w:pPr>
      <w:r w:rsidRPr="64ACFBC4">
        <w:rPr>
          <w:rStyle w:val="Allmrkuseviide"/>
        </w:rPr>
        <w:footnoteRef/>
      </w:r>
      <w:r w:rsidRPr="64ACFBC4">
        <w:t xml:space="preserve"> </w:t>
      </w:r>
      <w:r w:rsidR="00C27492" w:rsidRPr="00AA27B3">
        <w:rPr>
          <w:rFonts w:ascii="Times New Roman" w:hAnsi="Times New Roman" w:cs="Times New Roman"/>
        </w:rPr>
        <w:t xml:space="preserve">Emission Factor Database (EFDB) </w:t>
      </w:r>
      <w:hyperlink r:id="rId4" w:history="1">
        <w:r w:rsidR="00C27492" w:rsidRPr="00AA27B3">
          <w:rPr>
            <w:rStyle w:val="Hperlink"/>
            <w:rFonts w:ascii="Times New Roman" w:hAnsi="Times New Roman" w:cs="Times New Roman"/>
          </w:rPr>
          <w:t>https://www.ipcc-nggip.iges.or.jp/EFDB/main.php</w:t>
        </w:r>
      </w:hyperlink>
      <w:r w:rsidR="00C27492">
        <w:t xml:space="preserve"> </w:t>
      </w:r>
    </w:p>
  </w:footnote>
  <w:footnote w:id="6">
    <w:p w14:paraId="7E418151" w14:textId="0B99CA8B" w:rsidR="6DC324B9" w:rsidRPr="00EE21AE" w:rsidRDefault="6DC324B9" w:rsidP="004F0678">
      <w:pPr>
        <w:pStyle w:val="Allmrkusetekst"/>
        <w:jc w:val="both"/>
        <w:rPr>
          <w:rFonts w:ascii="Times New Roman" w:hAnsi="Times New Roman" w:cs="Times New Roman"/>
        </w:rPr>
      </w:pPr>
      <w:r w:rsidRPr="00EE21AE">
        <w:rPr>
          <w:rStyle w:val="Allmrkuseviide"/>
          <w:rFonts w:ascii="Times New Roman" w:hAnsi="Times New Roman" w:cs="Times New Roman"/>
        </w:rPr>
        <w:footnoteRef/>
      </w:r>
      <w:r w:rsidRPr="00EE21AE">
        <w:rPr>
          <w:rFonts w:ascii="Times New Roman" w:hAnsi="Times New Roman" w:cs="Times New Roman"/>
        </w:rPr>
        <w:t xml:space="preserve"> Haavatavus kliimamuutustest</w:t>
      </w:r>
      <w:r w:rsidRPr="00EE21AE">
        <w:rPr>
          <w:rFonts w:ascii="Times New Roman" w:hAnsi="Times New Roman" w:cs="Times New Roman"/>
          <w:i/>
          <w:iCs/>
        </w:rPr>
        <w:t xml:space="preserve"> (climate change vulnerability</w:t>
      </w:r>
      <w:r w:rsidRPr="00EE21AE">
        <w:rPr>
          <w:rFonts w:ascii="Times New Roman" w:hAnsi="Times New Roman" w:cs="Times New Roman"/>
        </w:rPr>
        <w:t>) on IPCC definitsiooni kohaselt süsteemi tundlikkuse määr ja suutlikkus tulla toime ebasoodsa kliimamuutuste mõjuga, sh kliima varieerumise ja äärmustega.</w:t>
      </w:r>
    </w:p>
  </w:footnote>
  <w:footnote w:id="7">
    <w:p w14:paraId="6AABBE63" w14:textId="46666B7B" w:rsidR="36D3019D" w:rsidRDefault="36D3019D" w:rsidP="004F0678">
      <w:pPr>
        <w:pStyle w:val="Allmrkusetekst"/>
        <w:jc w:val="both"/>
      </w:pPr>
      <w:r w:rsidRPr="00EE21AE">
        <w:rPr>
          <w:rStyle w:val="Allmrkuseviide"/>
          <w:rFonts w:ascii="Times New Roman" w:hAnsi="Times New Roman" w:cs="Times New Roman"/>
        </w:rPr>
        <w:footnoteRef/>
      </w:r>
      <w:r w:rsidRPr="00EE21AE">
        <w:rPr>
          <w:rFonts w:ascii="Times New Roman" w:hAnsi="Times New Roman" w:cs="Times New Roman"/>
        </w:rPr>
        <w:t xml:space="preserve"> </w:t>
      </w:r>
      <w:r w:rsidR="00DA3B3F">
        <w:rPr>
          <w:rFonts w:ascii="Times New Roman" w:hAnsi="Times New Roman" w:cs="Times New Roman"/>
        </w:rPr>
        <w:t>T</w:t>
      </w:r>
      <w:r w:rsidRPr="00EE21AE">
        <w:rPr>
          <w:rFonts w:ascii="Times New Roman" w:hAnsi="Times New Roman" w:cs="Times New Roman"/>
        </w:rPr>
        <w:t>aristuobjekte mõjutavad kliimategurid on nii äärmuslikud ilmastikunähtused nagu näiteks tugevad üleujutused, paduvihmad, põuad, erakordse kuuma- ja külmailma perioodid, tormid, maalihked, metsa- ja maastikutulekahjud kui ka pikaajaliselt kujunevad nähtused nagu näiteks mereveetaseme tõus, keskmise sademete hulga, mullaniiskuse, õhuniiskuse muutumine.</w:t>
      </w:r>
    </w:p>
  </w:footnote>
  <w:footnote w:id="8">
    <w:p w14:paraId="5DEF0507" w14:textId="5E29D3DE" w:rsidR="36D3019D" w:rsidRPr="00EE21AE" w:rsidRDefault="36D3019D" w:rsidP="004F0678">
      <w:pPr>
        <w:pStyle w:val="Allmrkusetekst"/>
        <w:jc w:val="both"/>
        <w:rPr>
          <w:rFonts w:ascii="Times New Roman" w:hAnsi="Times New Roman" w:cs="Times New Roman"/>
        </w:rPr>
      </w:pPr>
      <w:r w:rsidRPr="00EE21AE">
        <w:rPr>
          <w:rStyle w:val="Allmrkuseviide"/>
          <w:rFonts w:ascii="Times New Roman" w:hAnsi="Times New Roman" w:cs="Times New Roman"/>
        </w:rPr>
        <w:footnoteRef/>
      </w:r>
      <w:r w:rsidRPr="00EE21AE">
        <w:rPr>
          <w:rFonts w:ascii="Times New Roman" w:hAnsi="Times New Roman" w:cs="Times New Roman"/>
        </w:rPr>
        <w:t xml:space="preserve"> </w:t>
      </w:r>
      <w:r w:rsidR="00DA3B3F">
        <w:rPr>
          <w:rFonts w:ascii="Times New Roman" w:hAnsi="Times New Roman" w:cs="Times New Roman"/>
        </w:rPr>
        <w:t>K</w:t>
      </w:r>
      <w:r w:rsidRPr="00EE21AE">
        <w:rPr>
          <w:rFonts w:ascii="Times New Roman" w:hAnsi="Times New Roman" w:cs="Times New Roman"/>
        </w:rPr>
        <w:t xml:space="preserve">ui esimeses etapis edasist analüüsi nõudvaid märkimisväärseid kliimariske ei tuvastata, siis teise etappi minna pole vaja, kuid läbi viidud analüüsi kokkuvõte tuleb dokumenteerida vastavalt </w:t>
      </w:r>
      <w:r w:rsidR="00DA3B3F">
        <w:rPr>
          <w:rFonts w:ascii="Times New Roman" w:hAnsi="Times New Roman" w:cs="Times New Roman"/>
        </w:rPr>
        <w:t xml:space="preserve">Euroopa </w:t>
      </w:r>
      <w:r w:rsidRPr="00EE21AE">
        <w:rPr>
          <w:rFonts w:ascii="Times New Roman" w:hAnsi="Times New Roman" w:cs="Times New Roman"/>
        </w:rPr>
        <w:t xml:space="preserve">Komisjoni </w:t>
      </w:r>
      <w:r w:rsidR="00DA3B3F">
        <w:rPr>
          <w:rFonts w:ascii="Times New Roman" w:hAnsi="Times New Roman" w:cs="Times New Roman"/>
        </w:rPr>
        <w:t xml:space="preserve">tehnistele </w:t>
      </w:r>
      <w:r w:rsidRPr="00EE21AE">
        <w:rPr>
          <w:rFonts w:ascii="Times New Roman" w:hAnsi="Times New Roman" w:cs="Times New Roman"/>
        </w:rPr>
        <w:t>suunistele (B lisa).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09D"/>
    <w:multiLevelType w:val="hybridMultilevel"/>
    <w:tmpl w:val="5D3ADB32"/>
    <w:lvl w:ilvl="0" w:tplc="A2B6AF2A">
      <w:start w:val="1"/>
      <w:numFmt w:val="decimal"/>
      <w:lvlText w:val="%1)"/>
      <w:lvlJc w:val="left"/>
      <w:pPr>
        <w:ind w:left="360" w:hanging="360"/>
      </w:pPr>
    </w:lvl>
    <w:lvl w:ilvl="1" w:tplc="879859F0">
      <w:start w:val="1"/>
      <w:numFmt w:val="lowerLetter"/>
      <w:lvlText w:val="%2."/>
      <w:lvlJc w:val="left"/>
      <w:pPr>
        <w:ind w:left="1080" w:hanging="360"/>
      </w:pPr>
    </w:lvl>
    <w:lvl w:ilvl="2" w:tplc="A66892E0">
      <w:start w:val="1"/>
      <w:numFmt w:val="lowerRoman"/>
      <w:lvlText w:val="%3."/>
      <w:lvlJc w:val="right"/>
      <w:pPr>
        <w:ind w:left="1800" w:hanging="180"/>
      </w:pPr>
    </w:lvl>
    <w:lvl w:ilvl="3" w:tplc="43C2C9F6">
      <w:start w:val="1"/>
      <w:numFmt w:val="decimal"/>
      <w:lvlText w:val="%4."/>
      <w:lvlJc w:val="left"/>
      <w:pPr>
        <w:ind w:left="2520" w:hanging="360"/>
      </w:pPr>
    </w:lvl>
    <w:lvl w:ilvl="4" w:tplc="85C69CD8">
      <w:start w:val="1"/>
      <w:numFmt w:val="lowerLetter"/>
      <w:lvlText w:val="%5."/>
      <w:lvlJc w:val="left"/>
      <w:pPr>
        <w:ind w:left="3240" w:hanging="360"/>
      </w:pPr>
    </w:lvl>
    <w:lvl w:ilvl="5" w:tplc="9D2AE286">
      <w:start w:val="1"/>
      <w:numFmt w:val="lowerRoman"/>
      <w:lvlText w:val="%6."/>
      <w:lvlJc w:val="right"/>
      <w:pPr>
        <w:ind w:left="3960" w:hanging="180"/>
      </w:pPr>
    </w:lvl>
    <w:lvl w:ilvl="6" w:tplc="C54A1E04">
      <w:start w:val="1"/>
      <w:numFmt w:val="decimal"/>
      <w:lvlText w:val="%7."/>
      <w:lvlJc w:val="left"/>
      <w:pPr>
        <w:ind w:left="4680" w:hanging="360"/>
      </w:pPr>
    </w:lvl>
    <w:lvl w:ilvl="7" w:tplc="F50217B8">
      <w:start w:val="1"/>
      <w:numFmt w:val="lowerLetter"/>
      <w:lvlText w:val="%8."/>
      <w:lvlJc w:val="left"/>
      <w:pPr>
        <w:ind w:left="5400" w:hanging="360"/>
      </w:pPr>
    </w:lvl>
    <w:lvl w:ilvl="8" w:tplc="40DEEA66">
      <w:start w:val="1"/>
      <w:numFmt w:val="lowerRoman"/>
      <w:lvlText w:val="%9."/>
      <w:lvlJc w:val="right"/>
      <w:pPr>
        <w:ind w:left="6120" w:hanging="180"/>
      </w:pPr>
    </w:lvl>
  </w:abstractNum>
  <w:abstractNum w:abstractNumId="1" w15:restartNumberingAfterBreak="0">
    <w:nsid w:val="12FC7646"/>
    <w:multiLevelType w:val="hybridMultilevel"/>
    <w:tmpl w:val="3EEC3B2A"/>
    <w:lvl w:ilvl="0" w:tplc="0425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1E282D9A"/>
    <w:multiLevelType w:val="multilevel"/>
    <w:tmpl w:val="C39E1E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87EBDD"/>
    <w:multiLevelType w:val="hybridMultilevel"/>
    <w:tmpl w:val="8800FF44"/>
    <w:lvl w:ilvl="0" w:tplc="66C62EC2">
      <w:start w:val="1"/>
      <w:numFmt w:val="bullet"/>
      <w:lvlText w:val=""/>
      <w:lvlJc w:val="left"/>
      <w:pPr>
        <w:ind w:left="720" w:hanging="360"/>
      </w:pPr>
      <w:rPr>
        <w:rFonts w:ascii="Symbol" w:hAnsi="Symbol" w:hint="default"/>
      </w:rPr>
    </w:lvl>
    <w:lvl w:ilvl="1" w:tplc="49FE106A">
      <w:start w:val="1"/>
      <w:numFmt w:val="bullet"/>
      <w:lvlText w:val=""/>
      <w:lvlJc w:val="left"/>
      <w:pPr>
        <w:ind w:left="1440" w:hanging="360"/>
      </w:pPr>
      <w:rPr>
        <w:rFonts w:ascii="Symbol" w:hAnsi="Symbol" w:hint="default"/>
      </w:rPr>
    </w:lvl>
    <w:lvl w:ilvl="2" w:tplc="1AA0D190">
      <w:start w:val="1"/>
      <w:numFmt w:val="bullet"/>
      <w:lvlText w:val=""/>
      <w:lvlJc w:val="left"/>
      <w:pPr>
        <w:ind w:left="2160" w:hanging="360"/>
      </w:pPr>
      <w:rPr>
        <w:rFonts w:ascii="Wingdings" w:hAnsi="Wingdings" w:hint="default"/>
      </w:rPr>
    </w:lvl>
    <w:lvl w:ilvl="3" w:tplc="0BE0E5B6">
      <w:start w:val="1"/>
      <w:numFmt w:val="bullet"/>
      <w:lvlText w:val=""/>
      <w:lvlJc w:val="left"/>
      <w:pPr>
        <w:ind w:left="2880" w:hanging="360"/>
      </w:pPr>
      <w:rPr>
        <w:rFonts w:ascii="Symbol" w:hAnsi="Symbol" w:hint="default"/>
      </w:rPr>
    </w:lvl>
    <w:lvl w:ilvl="4" w:tplc="10F00438">
      <w:start w:val="1"/>
      <w:numFmt w:val="bullet"/>
      <w:lvlText w:val="o"/>
      <w:lvlJc w:val="left"/>
      <w:pPr>
        <w:ind w:left="3600" w:hanging="360"/>
      </w:pPr>
      <w:rPr>
        <w:rFonts w:ascii="Courier New" w:hAnsi="Courier New" w:hint="default"/>
      </w:rPr>
    </w:lvl>
    <w:lvl w:ilvl="5" w:tplc="46464026">
      <w:start w:val="1"/>
      <w:numFmt w:val="bullet"/>
      <w:lvlText w:val=""/>
      <w:lvlJc w:val="left"/>
      <w:pPr>
        <w:ind w:left="4320" w:hanging="360"/>
      </w:pPr>
      <w:rPr>
        <w:rFonts w:ascii="Wingdings" w:hAnsi="Wingdings" w:hint="default"/>
      </w:rPr>
    </w:lvl>
    <w:lvl w:ilvl="6" w:tplc="54E692B0">
      <w:start w:val="1"/>
      <w:numFmt w:val="bullet"/>
      <w:lvlText w:val=""/>
      <w:lvlJc w:val="left"/>
      <w:pPr>
        <w:ind w:left="5040" w:hanging="360"/>
      </w:pPr>
      <w:rPr>
        <w:rFonts w:ascii="Symbol" w:hAnsi="Symbol" w:hint="default"/>
      </w:rPr>
    </w:lvl>
    <w:lvl w:ilvl="7" w:tplc="0D340098">
      <w:start w:val="1"/>
      <w:numFmt w:val="bullet"/>
      <w:lvlText w:val="o"/>
      <w:lvlJc w:val="left"/>
      <w:pPr>
        <w:ind w:left="5760" w:hanging="360"/>
      </w:pPr>
      <w:rPr>
        <w:rFonts w:ascii="Courier New" w:hAnsi="Courier New" w:hint="default"/>
      </w:rPr>
    </w:lvl>
    <w:lvl w:ilvl="8" w:tplc="1F3C95FC">
      <w:start w:val="1"/>
      <w:numFmt w:val="bullet"/>
      <w:lvlText w:val=""/>
      <w:lvlJc w:val="left"/>
      <w:pPr>
        <w:ind w:left="6480" w:hanging="360"/>
      </w:pPr>
      <w:rPr>
        <w:rFonts w:ascii="Wingdings" w:hAnsi="Wingdings" w:hint="default"/>
      </w:rPr>
    </w:lvl>
  </w:abstractNum>
  <w:abstractNum w:abstractNumId="4" w15:restartNumberingAfterBreak="0">
    <w:nsid w:val="25125586"/>
    <w:multiLevelType w:val="hybridMultilevel"/>
    <w:tmpl w:val="9338603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316E8A"/>
    <w:multiLevelType w:val="hybridMultilevel"/>
    <w:tmpl w:val="9E70ADF6"/>
    <w:lvl w:ilvl="0" w:tplc="262CE08E">
      <w:start w:val="1"/>
      <w:numFmt w:val="bullet"/>
      <w:lvlText w:val="-"/>
      <w:lvlJc w:val="left"/>
      <w:pPr>
        <w:ind w:left="720" w:hanging="360"/>
      </w:pPr>
      <w:rPr>
        <w:rFonts w:ascii="&quot;Times New Roman&quot;,serif" w:hAnsi="&quot;Times New Roman&quot;,serif" w:hint="default"/>
      </w:rPr>
    </w:lvl>
    <w:lvl w:ilvl="1" w:tplc="63A40B98">
      <w:start w:val="1"/>
      <w:numFmt w:val="bullet"/>
      <w:lvlText w:val="o"/>
      <w:lvlJc w:val="left"/>
      <w:pPr>
        <w:ind w:left="1440" w:hanging="360"/>
      </w:pPr>
      <w:rPr>
        <w:rFonts w:ascii="Courier New" w:hAnsi="Courier New" w:hint="default"/>
      </w:rPr>
    </w:lvl>
    <w:lvl w:ilvl="2" w:tplc="2D3A6232">
      <w:start w:val="1"/>
      <w:numFmt w:val="bullet"/>
      <w:lvlText w:val=""/>
      <w:lvlJc w:val="left"/>
      <w:pPr>
        <w:ind w:left="2160" w:hanging="360"/>
      </w:pPr>
      <w:rPr>
        <w:rFonts w:ascii="Wingdings" w:hAnsi="Wingdings" w:hint="default"/>
      </w:rPr>
    </w:lvl>
    <w:lvl w:ilvl="3" w:tplc="AD86714A">
      <w:start w:val="1"/>
      <w:numFmt w:val="bullet"/>
      <w:lvlText w:val=""/>
      <w:lvlJc w:val="left"/>
      <w:pPr>
        <w:ind w:left="2880" w:hanging="360"/>
      </w:pPr>
      <w:rPr>
        <w:rFonts w:ascii="Symbol" w:hAnsi="Symbol" w:hint="default"/>
      </w:rPr>
    </w:lvl>
    <w:lvl w:ilvl="4" w:tplc="8E68A1DC">
      <w:start w:val="1"/>
      <w:numFmt w:val="bullet"/>
      <w:lvlText w:val="o"/>
      <w:lvlJc w:val="left"/>
      <w:pPr>
        <w:ind w:left="3600" w:hanging="360"/>
      </w:pPr>
      <w:rPr>
        <w:rFonts w:ascii="Courier New" w:hAnsi="Courier New" w:hint="default"/>
      </w:rPr>
    </w:lvl>
    <w:lvl w:ilvl="5" w:tplc="142084DA">
      <w:start w:val="1"/>
      <w:numFmt w:val="bullet"/>
      <w:lvlText w:val=""/>
      <w:lvlJc w:val="left"/>
      <w:pPr>
        <w:ind w:left="4320" w:hanging="360"/>
      </w:pPr>
      <w:rPr>
        <w:rFonts w:ascii="Wingdings" w:hAnsi="Wingdings" w:hint="default"/>
      </w:rPr>
    </w:lvl>
    <w:lvl w:ilvl="6" w:tplc="0F0CB0A6">
      <w:start w:val="1"/>
      <w:numFmt w:val="bullet"/>
      <w:lvlText w:val=""/>
      <w:lvlJc w:val="left"/>
      <w:pPr>
        <w:ind w:left="5040" w:hanging="360"/>
      </w:pPr>
      <w:rPr>
        <w:rFonts w:ascii="Symbol" w:hAnsi="Symbol" w:hint="default"/>
      </w:rPr>
    </w:lvl>
    <w:lvl w:ilvl="7" w:tplc="4788C2F4">
      <w:start w:val="1"/>
      <w:numFmt w:val="bullet"/>
      <w:lvlText w:val="o"/>
      <w:lvlJc w:val="left"/>
      <w:pPr>
        <w:ind w:left="5760" w:hanging="360"/>
      </w:pPr>
      <w:rPr>
        <w:rFonts w:ascii="Courier New" w:hAnsi="Courier New" w:hint="default"/>
      </w:rPr>
    </w:lvl>
    <w:lvl w:ilvl="8" w:tplc="ADC6F468">
      <w:start w:val="1"/>
      <w:numFmt w:val="bullet"/>
      <w:lvlText w:val=""/>
      <w:lvlJc w:val="left"/>
      <w:pPr>
        <w:ind w:left="6480" w:hanging="360"/>
      </w:pPr>
      <w:rPr>
        <w:rFonts w:ascii="Wingdings" w:hAnsi="Wingdings" w:hint="default"/>
      </w:rPr>
    </w:lvl>
  </w:abstractNum>
  <w:abstractNum w:abstractNumId="6" w15:restartNumberingAfterBreak="0">
    <w:nsid w:val="29F14238"/>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17D3EEB"/>
    <w:multiLevelType w:val="hybridMultilevel"/>
    <w:tmpl w:val="D93460C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146023"/>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3A6A3F1C"/>
    <w:multiLevelType w:val="hybridMultilevel"/>
    <w:tmpl w:val="4754EED6"/>
    <w:lvl w:ilvl="0" w:tplc="8004B14C">
      <w:start w:val="202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C122F7E"/>
    <w:multiLevelType w:val="multilevel"/>
    <w:tmpl w:val="04250025"/>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1" w15:restartNumberingAfterBreak="0">
    <w:nsid w:val="400A8C94"/>
    <w:multiLevelType w:val="hybridMultilevel"/>
    <w:tmpl w:val="D9DA34A8"/>
    <w:lvl w:ilvl="0" w:tplc="710089E8">
      <w:start w:val="1"/>
      <w:numFmt w:val="decimal"/>
      <w:lvlText w:val="%1."/>
      <w:lvlJc w:val="left"/>
      <w:pPr>
        <w:ind w:left="720" w:hanging="360"/>
      </w:pPr>
    </w:lvl>
    <w:lvl w:ilvl="1" w:tplc="2BA270E2">
      <w:start w:val="1"/>
      <w:numFmt w:val="lowerLetter"/>
      <w:lvlText w:val="%2."/>
      <w:lvlJc w:val="left"/>
      <w:pPr>
        <w:ind w:left="1440" w:hanging="360"/>
      </w:pPr>
    </w:lvl>
    <w:lvl w:ilvl="2" w:tplc="159C79DC">
      <w:start w:val="1"/>
      <w:numFmt w:val="lowerRoman"/>
      <w:lvlText w:val="%3."/>
      <w:lvlJc w:val="right"/>
      <w:pPr>
        <w:ind w:left="2160" w:hanging="180"/>
      </w:pPr>
    </w:lvl>
    <w:lvl w:ilvl="3" w:tplc="5CF0F874">
      <w:start w:val="1"/>
      <w:numFmt w:val="decimal"/>
      <w:lvlText w:val="%4."/>
      <w:lvlJc w:val="left"/>
      <w:pPr>
        <w:ind w:left="2880" w:hanging="360"/>
      </w:pPr>
    </w:lvl>
    <w:lvl w:ilvl="4" w:tplc="43709548">
      <w:start w:val="1"/>
      <w:numFmt w:val="lowerLetter"/>
      <w:lvlText w:val="%5."/>
      <w:lvlJc w:val="left"/>
      <w:pPr>
        <w:ind w:left="3600" w:hanging="360"/>
      </w:pPr>
    </w:lvl>
    <w:lvl w:ilvl="5" w:tplc="57803780">
      <w:start w:val="1"/>
      <w:numFmt w:val="lowerRoman"/>
      <w:lvlText w:val="%6."/>
      <w:lvlJc w:val="right"/>
      <w:pPr>
        <w:ind w:left="4320" w:hanging="180"/>
      </w:pPr>
    </w:lvl>
    <w:lvl w:ilvl="6" w:tplc="A440A06A">
      <w:start w:val="1"/>
      <w:numFmt w:val="decimal"/>
      <w:lvlText w:val="%7."/>
      <w:lvlJc w:val="left"/>
      <w:pPr>
        <w:ind w:left="5040" w:hanging="360"/>
      </w:pPr>
    </w:lvl>
    <w:lvl w:ilvl="7" w:tplc="72048CF6">
      <w:start w:val="1"/>
      <w:numFmt w:val="lowerLetter"/>
      <w:lvlText w:val="%8."/>
      <w:lvlJc w:val="left"/>
      <w:pPr>
        <w:ind w:left="5760" w:hanging="360"/>
      </w:pPr>
    </w:lvl>
    <w:lvl w:ilvl="8" w:tplc="28DA83D6">
      <w:start w:val="1"/>
      <w:numFmt w:val="lowerRoman"/>
      <w:lvlText w:val="%9."/>
      <w:lvlJc w:val="right"/>
      <w:pPr>
        <w:ind w:left="6480" w:hanging="180"/>
      </w:pPr>
    </w:lvl>
  </w:abstractNum>
  <w:abstractNum w:abstractNumId="12" w15:restartNumberingAfterBreak="0">
    <w:nsid w:val="452F0228"/>
    <w:multiLevelType w:val="hybridMultilevel"/>
    <w:tmpl w:val="B9429BFE"/>
    <w:lvl w:ilvl="0" w:tplc="CBCE4448">
      <w:start w:val="1"/>
      <w:numFmt w:val="bullet"/>
      <w:lvlText w:val=""/>
      <w:lvlJc w:val="left"/>
      <w:pPr>
        <w:ind w:left="360" w:hanging="360"/>
      </w:pPr>
      <w:rPr>
        <w:rFonts w:ascii="Symbol" w:hAnsi="Symbol" w:hint="default"/>
      </w:rPr>
    </w:lvl>
    <w:lvl w:ilvl="1" w:tplc="1068E6D8">
      <w:start w:val="1"/>
      <w:numFmt w:val="bullet"/>
      <w:lvlText w:val="o"/>
      <w:lvlJc w:val="left"/>
      <w:pPr>
        <w:ind w:left="1080" w:hanging="360"/>
      </w:pPr>
      <w:rPr>
        <w:rFonts w:ascii="Courier New" w:hAnsi="Courier New" w:hint="default"/>
      </w:rPr>
    </w:lvl>
    <w:lvl w:ilvl="2" w:tplc="A3F8D2CA">
      <w:start w:val="1"/>
      <w:numFmt w:val="bullet"/>
      <w:lvlText w:val=""/>
      <w:lvlJc w:val="left"/>
      <w:pPr>
        <w:ind w:left="1800" w:hanging="360"/>
      </w:pPr>
      <w:rPr>
        <w:rFonts w:ascii="Wingdings" w:hAnsi="Wingdings" w:hint="default"/>
      </w:rPr>
    </w:lvl>
    <w:lvl w:ilvl="3" w:tplc="24683322">
      <w:start w:val="1"/>
      <w:numFmt w:val="bullet"/>
      <w:lvlText w:val=""/>
      <w:lvlJc w:val="left"/>
      <w:pPr>
        <w:ind w:left="2520" w:hanging="360"/>
      </w:pPr>
      <w:rPr>
        <w:rFonts w:ascii="Symbol" w:hAnsi="Symbol" w:hint="default"/>
      </w:rPr>
    </w:lvl>
    <w:lvl w:ilvl="4" w:tplc="23DADCCE">
      <w:start w:val="1"/>
      <w:numFmt w:val="bullet"/>
      <w:lvlText w:val="o"/>
      <w:lvlJc w:val="left"/>
      <w:pPr>
        <w:ind w:left="3240" w:hanging="360"/>
      </w:pPr>
      <w:rPr>
        <w:rFonts w:ascii="Courier New" w:hAnsi="Courier New" w:hint="default"/>
      </w:rPr>
    </w:lvl>
    <w:lvl w:ilvl="5" w:tplc="7A6E3426">
      <w:start w:val="1"/>
      <w:numFmt w:val="bullet"/>
      <w:lvlText w:val=""/>
      <w:lvlJc w:val="left"/>
      <w:pPr>
        <w:ind w:left="3960" w:hanging="360"/>
      </w:pPr>
      <w:rPr>
        <w:rFonts w:ascii="Wingdings" w:hAnsi="Wingdings" w:hint="default"/>
      </w:rPr>
    </w:lvl>
    <w:lvl w:ilvl="6" w:tplc="283CE4EA">
      <w:start w:val="1"/>
      <w:numFmt w:val="bullet"/>
      <w:lvlText w:val=""/>
      <w:lvlJc w:val="left"/>
      <w:pPr>
        <w:ind w:left="4680" w:hanging="360"/>
      </w:pPr>
      <w:rPr>
        <w:rFonts w:ascii="Symbol" w:hAnsi="Symbol" w:hint="default"/>
      </w:rPr>
    </w:lvl>
    <w:lvl w:ilvl="7" w:tplc="6804C9FA">
      <w:start w:val="1"/>
      <w:numFmt w:val="bullet"/>
      <w:lvlText w:val="o"/>
      <w:lvlJc w:val="left"/>
      <w:pPr>
        <w:ind w:left="5400" w:hanging="360"/>
      </w:pPr>
      <w:rPr>
        <w:rFonts w:ascii="Courier New" w:hAnsi="Courier New" w:hint="default"/>
      </w:rPr>
    </w:lvl>
    <w:lvl w:ilvl="8" w:tplc="30EEAB3C">
      <w:start w:val="1"/>
      <w:numFmt w:val="bullet"/>
      <w:lvlText w:val=""/>
      <w:lvlJc w:val="left"/>
      <w:pPr>
        <w:ind w:left="6120" w:hanging="360"/>
      </w:pPr>
      <w:rPr>
        <w:rFonts w:ascii="Wingdings" w:hAnsi="Wingdings" w:hint="default"/>
      </w:rPr>
    </w:lvl>
  </w:abstractNum>
  <w:abstractNum w:abstractNumId="13" w15:restartNumberingAfterBreak="0">
    <w:nsid w:val="5EE37930"/>
    <w:multiLevelType w:val="hybridMultilevel"/>
    <w:tmpl w:val="B874AC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88D416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1B729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974493"/>
    <w:multiLevelType w:val="hybridMultilevel"/>
    <w:tmpl w:val="060A0C18"/>
    <w:lvl w:ilvl="0" w:tplc="0425000F">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7" w15:restartNumberingAfterBreak="0">
    <w:nsid w:val="792A0DAC"/>
    <w:multiLevelType w:val="hybridMultilevel"/>
    <w:tmpl w:val="78166A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0"/>
  </w:num>
  <w:num w:numId="5">
    <w:abstractNumId w:val="11"/>
  </w:num>
  <w:num w:numId="6">
    <w:abstractNumId w:val="9"/>
  </w:num>
  <w:num w:numId="7">
    <w:abstractNumId w:val="7"/>
  </w:num>
  <w:num w:numId="8">
    <w:abstractNumId w:val="4"/>
  </w:num>
  <w:num w:numId="9">
    <w:abstractNumId w:val="13"/>
  </w:num>
  <w:num w:numId="10">
    <w:abstractNumId w:val="17"/>
  </w:num>
  <w:num w:numId="11">
    <w:abstractNumId w:val="1"/>
  </w:num>
  <w:num w:numId="12">
    <w:abstractNumId w:val="16"/>
  </w:num>
  <w:num w:numId="13">
    <w:abstractNumId w:val="6"/>
  </w:num>
  <w:num w:numId="14">
    <w:abstractNumId w:val="14"/>
  </w:num>
  <w:num w:numId="15">
    <w:abstractNumId w:val="15"/>
  </w:num>
  <w:num w:numId="16">
    <w:abstractNumId w:val="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CA"/>
    <w:rsid w:val="0006090D"/>
    <w:rsid w:val="000919CD"/>
    <w:rsid w:val="00093AE4"/>
    <w:rsid w:val="000C355E"/>
    <w:rsid w:val="000E2008"/>
    <w:rsid w:val="000F11AF"/>
    <w:rsid w:val="00117920"/>
    <w:rsid w:val="001313F2"/>
    <w:rsid w:val="001423E0"/>
    <w:rsid w:val="00156CBE"/>
    <w:rsid w:val="00167F7C"/>
    <w:rsid w:val="001A197C"/>
    <w:rsid w:val="001A74CC"/>
    <w:rsid w:val="002002D2"/>
    <w:rsid w:val="00200D98"/>
    <w:rsid w:val="002056C0"/>
    <w:rsid w:val="002141A6"/>
    <w:rsid w:val="00226423"/>
    <w:rsid w:val="002521D2"/>
    <w:rsid w:val="00271EFA"/>
    <w:rsid w:val="00292D6E"/>
    <w:rsid w:val="002D66BD"/>
    <w:rsid w:val="00315B26"/>
    <w:rsid w:val="00342286"/>
    <w:rsid w:val="00372F91"/>
    <w:rsid w:val="00394122"/>
    <w:rsid w:val="003C52CA"/>
    <w:rsid w:val="00444DC2"/>
    <w:rsid w:val="004875B1"/>
    <w:rsid w:val="00495E79"/>
    <w:rsid w:val="004A2823"/>
    <w:rsid w:val="004B3240"/>
    <w:rsid w:val="004D0CA1"/>
    <w:rsid w:val="004E2D0B"/>
    <w:rsid w:val="004F0678"/>
    <w:rsid w:val="004F0953"/>
    <w:rsid w:val="005228D0"/>
    <w:rsid w:val="00571923"/>
    <w:rsid w:val="00594D0B"/>
    <w:rsid w:val="005A6985"/>
    <w:rsid w:val="005A6AAE"/>
    <w:rsid w:val="005B3601"/>
    <w:rsid w:val="005E27FE"/>
    <w:rsid w:val="005E4C97"/>
    <w:rsid w:val="00621D47"/>
    <w:rsid w:val="006323CD"/>
    <w:rsid w:val="00650C0E"/>
    <w:rsid w:val="00683FD6"/>
    <w:rsid w:val="00695D61"/>
    <w:rsid w:val="006B5719"/>
    <w:rsid w:val="00707A31"/>
    <w:rsid w:val="0071557F"/>
    <w:rsid w:val="00732647"/>
    <w:rsid w:val="0076660C"/>
    <w:rsid w:val="00790013"/>
    <w:rsid w:val="00797524"/>
    <w:rsid w:val="007A16CE"/>
    <w:rsid w:val="007D4B58"/>
    <w:rsid w:val="00843067"/>
    <w:rsid w:val="00855D68"/>
    <w:rsid w:val="0088765E"/>
    <w:rsid w:val="008912E0"/>
    <w:rsid w:val="008C14A9"/>
    <w:rsid w:val="008E12BA"/>
    <w:rsid w:val="008E68CE"/>
    <w:rsid w:val="008F7A7A"/>
    <w:rsid w:val="008F7CA3"/>
    <w:rsid w:val="00904F9E"/>
    <w:rsid w:val="0093642C"/>
    <w:rsid w:val="00951D59"/>
    <w:rsid w:val="00984B9A"/>
    <w:rsid w:val="00995D39"/>
    <w:rsid w:val="009A2EAE"/>
    <w:rsid w:val="009E65A1"/>
    <w:rsid w:val="009E7379"/>
    <w:rsid w:val="00A21FAB"/>
    <w:rsid w:val="00AA27B3"/>
    <w:rsid w:val="00AB4333"/>
    <w:rsid w:val="00AC2669"/>
    <w:rsid w:val="00B0720F"/>
    <w:rsid w:val="00B125C5"/>
    <w:rsid w:val="00B6257E"/>
    <w:rsid w:val="00B71AD3"/>
    <w:rsid w:val="00B7263F"/>
    <w:rsid w:val="00B97B52"/>
    <w:rsid w:val="00BE7105"/>
    <w:rsid w:val="00C05CC2"/>
    <w:rsid w:val="00C22DBE"/>
    <w:rsid w:val="00C27492"/>
    <w:rsid w:val="00C349FE"/>
    <w:rsid w:val="00C351AE"/>
    <w:rsid w:val="00C51AB1"/>
    <w:rsid w:val="00C767D9"/>
    <w:rsid w:val="00C82D1B"/>
    <w:rsid w:val="00CA1DD1"/>
    <w:rsid w:val="00CB031C"/>
    <w:rsid w:val="00CC614B"/>
    <w:rsid w:val="00D42765"/>
    <w:rsid w:val="00D71BA4"/>
    <w:rsid w:val="00DA3B3F"/>
    <w:rsid w:val="00DC2199"/>
    <w:rsid w:val="00DD20BD"/>
    <w:rsid w:val="00DD38B8"/>
    <w:rsid w:val="00DE3FDC"/>
    <w:rsid w:val="00DF7E3B"/>
    <w:rsid w:val="00E55FD1"/>
    <w:rsid w:val="00E74B13"/>
    <w:rsid w:val="00E80FA1"/>
    <w:rsid w:val="00E82EA6"/>
    <w:rsid w:val="00E87155"/>
    <w:rsid w:val="00E9282A"/>
    <w:rsid w:val="00EA0583"/>
    <w:rsid w:val="00EA33F1"/>
    <w:rsid w:val="00EE1AD2"/>
    <w:rsid w:val="00EE21AE"/>
    <w:rsid w:val="00EF6F88"/>
    <w:rsid w:val="00F314A1"/>
    <w:rsid w:val="00F67269"/>
    <w:rsid w:val="00F87E9C"/>
    <w:rsid w:val="0157D8F6"/>
    <w:rsid w:val="017BC9F5"/>
    <w:rsid w:val="01C91DEF"/>
    <w:rsid w:val="01EE83CC"/>
    <w:rsid w:val="01EE9EDA"/>
    <w:rsid w:val="0288B545"/>
    <w:rsid w:val="02C7E4DA"/>
    <w:rsid w:val="02CF87CC"/>
    <w:rsid w:val="02E153E6"/>
    <w:rsid w:val="02F39CA4"/>
    <w:rsid w:val="0346F158"/>
    <w:rsid w:val="0377953A"/>
    <w:rsid w:val="0387543D"/>
    <w:rsid w:val="03E1F1D4"/>
    <w:rsid w:val="040C2237"/>
    <w:rsid w:val="04202F88"/>
    <w:rsid w:val="0430E958"/>
    <w:rsid w:val="04517D4A"/>
    <w:rsid w:val="0569A457"/>
    <w:rsid w:val="05808ED1"/>
    <w:rsid w:val="05BCC97D"/>
    <w:rsid w:val="05ED4DAB"/>
    <w:rsid w:val="06027EDC"/>
    <w:rsid w:val="060F044C"/>
    <w:rsid w:val="06293FCD"/>
    <w:rsid w:val="0646EF9B"/>
    <w:rsid w:val="0650EFB8"/>
    <w:rsid w:val="065278B7"/>
    <w:rsid w:val="06633416"/>
    <w:rsid w:val="06900A5A"/>
    <w:rsid w:val="069DE95D"/>
    <w:rsid w:val="06DAC242"/>
    <w:rsid w:val="06E1109E"/>
    <w:rsid w:val="06F8E7B0"/>
    <w:rsid w:val="0743C2F9"/>
    <w:rsid w:val="0757D04A"/>
    <w:rsid w:val="07684AEC"/>
    <w:rsid w:val="07CE9809"/>
    <w:rsid w:val="081B68AF"/>
    <w:rsid w:val="0848B62B"/>
    <w:rsid w:val="0853542A"/>
    <w:rsid w:val="0899BAD7"/>
    <w:rsid w:val="09307260"/>
    <w:rsid w:val="09F995B1"/>
    <w:rsid w:val="0A3BE7E2"/>
    <w:rsid w:val="0AACC9AC"/>
    <w:rsid w:val="0AE50DB8"/>
    <w:rsid w:val="0B7F7B91"/>
    <w:rsid w:val="0BBA2815"/>
    <w:rsid w:val="0BE45286"/>
    <w:rsid w:val="0C228ADF"/>
    <w:rsid w:val="0C2C1919"/>
    <w:rsid w:val="0C766A12"/>
    <w:rsid w:val="0CD2759A"/>
    <w:rsid w:val="0CF1DEA5"/>
    <w:rsid w:val="0D8EF0A0"/>
    <w:rsid w:val="0E1D33A1"/>
    <w:rsid w:val="0E8BBCC0"/>
    <w:rsid w:val="0EA7EBC8"/>
    <w:rsid w:val="0EA96D51"/>
    <w:rsid w:val="0EAD25BF"/>
    <w:rsid w:val="0F576D3C"/>
    <w:rsid w:val="0F5FB4CC"/>
    <w:rsid w:val="0F94E277"/>
    <w:rsid w:val="0F9C1D77"/>
    <w:rsid w:val="0FA6B066"/>
    <w:rsid w:val="101FBD7C"/>
    <w:rsid w:val="102C47A3"/>
    <w:rsid w:val="10448E3A"/>
    <w:rsid w:val="104CAEE8"/>
    <w:rsid w:val="10512219"/>
    <w:rsid w:val="1056A522"/>
    <w:rsid w:val="1070050A"/>
    <w:rsid w:val="10D3E01D"/>
    <w:rsid w:val="10E9E051"/>
    <w:rsid w:val="112C7500"/>
    <w:rsid w:val="1130B2D8"/>
    <w:rsid w:val="114280C7"/>
    <w:rsid w:val="1187D625"/>
    <w:rsid w:val="11C24AF5"/>
    <w:rsid w:val="11F2CF92"/>
    <w:rsid w:val="11F33F17"/>
    <w:rsid w:val="12027177"/>
    <w:rsid w:val="129B953B"/>
    <w:rsid w:val="129CED6E"/>
    <w:rsid w:val="12BB0699"/>
    <w:rsid w:val="12C84561"/>
    <w:rsid w:val="12D3BE39"/>
    <w:rsid w:val="12D45EF7"/>
    <w:rsid w:val="1370CD1E"/>
    <w:rsid w:val="139E41D8"/>
    <w:rsid w:val="13DC6D7E"/>
    <w:rsid w:val="13F9A2FD"/>
    <w:rsid w:val="146F8E9A"/>
    <w:rsid w:val="14958433"/>
    <w:rsid w:val="1557D8B5"/>
    <w:rsid w:val="15B6FE35"/>
    <w:rsid w:val="15B906E9"/>
    <w:rsid w:val="15E4F221"/>
    <w:rsid w:val="15EA862A"/>
    <w:rsid w:val="15FFE623"/>
    <w:rsid w:val="16E14F88"/>
    <w:rsid w:val="16F8683B"/>
    <w:rsid w:val="173143BF"/>
    <w:rsid w:val="1753F276"/>
    <w:rsid w:val="1761D449"/>
    <w:rsid w:val="187D1FE9"/>
    <w:rsid w:val="18B7D8DA"/>
    <w:rsid w:val="190D6192"/>
    <w:rsid w:val="19466302"/>
    <w:rsid w:val="19546D65"/>
    <w:rsid w:val="19CD5CDA"/>
    <w:rsid w:val="19E4B91A"/>
    <w:rsid w:val="1A161D8A"/>
    <w:rsid w:val="1B353FD0"/>
    <w:rsid w:val="1B3B3E32"/>
    <w:rsid w:val="1B80897B"/>
    <w:rsid w:val="1B8C403F"/>
    <w:rsid w:val="1BB2ECC7"/>
    <w:rsid w:val="1C5CF02E"/>
    <w:rsid w:val="1D50910C"/>
    <w:rsid w:val="1D8B49FD"/>
    <w:rsid w:val="1DDE91FE"/>
    <w:rsid w:val="1E58E794"/>
    <w:rsid w:val="1EA8BB83"/>
    <w:rsid w:val="1EABC056"/>
    <w:rsid w:val="1EC889FE"/>
    <w:rsid w:val="1EC9CF19"/>
    <w:rsid w:val="1EE3C6F9"/>
    <w:rsid w:val="1F7A625F"/>
    <w:rsid w:val="1F993650"/>
    <w:rsid w:val="1FC77272"/>
    <w:rsid w:val="20FAD4BC"/>
    <w:rsid w:val="214E825F"/>
    <w:rsid w:val="216B0820"/>
    <w:rsid w:val="221B67BB"/>
    <w:rsid w:val="2228AC38"/>
    <w:rsid w:val="2234CC86"/>
    <w:rsid w:val="234CDBDC"/>
    <w:rsid w:val="23C70065"/>
    <w:rsid w:val="23E8E0B3"/>
    <w:rsid w:val="23FA7ECE"/>
    <w:rsid w:val="244ED9B6"/>
    <w:rsid w:val="2474778D"/>
    <w:rsid w:val="24862321"/>
    <w:rsid w:val="2487614F"/>
    <w:rsid w:val="249BC8C3"/>
    <w:rsid w:val="24F19073"/>
    <w:rsid w:val="252823FC"/>
    <w:rsid w:val="2560BDB7"/>
    <w:rsid w:val="25C423AD"/>
    <w:rsid w:val="25F29CC6"/>
    <w:rsid w:val="25FCCA45"/>
    <w:rsid w:val="26096D35"/>
    <w:rsid w:val="261047EE"/>
    <w:rsid w:val="262DE07C"/>
    <w:rsid w:val="263EB6F2"/>
    <w:rsid w:val="268D60D4"/>
    <w:rsid w:val="26B3B120"/>
    <w:rsid w:val="26C18C2B"/>
    <w:rsid w:val="27376BEF"/>
    <w:rsid w:val="275FF40E"/>
    <w:rsid w:val="276A1640"/>
    <w:rsid w:val="27AFAEBC"/>
    <w:rsid w:val="27C9B0DD"/>
    <w:rsid w:val="2828A40F"/>
    <w:rsid w:val="28293135"/>
    <w:rsid w:val="28737E7E"/>
    <w:rsid w:val="28D9B7C8"/>
    <w:rsid w:val="28FBC46F"/>
    <w:rsid w:val="292598EE"/>
    <w:rsid w:val="29410DF7"/>
    <w:rsid w:val="29805E3B"/>
    <w:rsid w:val="29EB6E2A"/>
    <w:rsid w:val="2A2614F9"/>
    <w:rsid w:val="2A33BE1D"/>
    <w:rsid w:val="2A4B5366"/>
    <w:rsid w:val="2A6DDBE9"/>
    <w:rsid w:val="2AA9A488"/>
    <w:rsid w:val="2B3433F3"/>
    <w:rsid w:val="2B6AEDAE"/>
    <w:rsid w:val="2BB2B30E"/>
    <w:rsid w:val="2BC2F6EF"/>
    <w:rsid w:val="2C1AAD0E"/>
    <w:rsid w:val="2C3D8763"/>
    <w:rsid w:val="2C802A30"/>
    <w:rsid w:val="2C831FDF"/>
    <w:rsid w:val="2C99528D"/>
    <w:rsid w:val="2CFBD369"/>
    <w:rsid w:val="2D3ADAB1"/>
    <w:rsid w:val="2D64E0F2"/>
    <w:rsid w:val="2DE1454A"/>
    <w:rsid w:val="2E04A486"/>
    <w:rsid w:val="2E07C5FF"/>
    <w:rsid w:val="2E52138E"/>
    <w:rsid w:val="2E76F8E4"/>
    <w:rsid w:val="2E8AC9A9"/>
    <w:rsid w:val="2EA28E70"/>
    <w:rsid w:val="2ED19115"/>
    <w:rsid w:val="2ED5E17E"/>
    <w:rsid w:val="2EF9EAC3"/>
    <w:rsid w:val="2F00B153"/>
    <w:rsid w:val="2F3B5A40"/>
    <w:rsid w:val="2F53F2BD"/>
    <w:rsid w:val="2F64C05A"/>
    <w:rsid w:val="2F9C7EB6"/>
    <w:rsid w:val="2FB04F7B"/>
    <w:rsid w:val="2FEDE3EF"/>
    <w:rsid w:val="3033742B"/>
    <w:rsid w:val="3081ADD3"/>
    <w:rsid w:val="30F1B9F9"/>
    <w:rsid w:val="3118E60C"/>
    <w:rsid w:val="31771C4A"/>
    <w:rsid w:val="317872FA"/>
    <w:rsid w:val="32261862"/>
    <w:rsid w:val="322C3313"/>
    <w:rsid w:val="325BA9DA"/>
    <w:rsid w:val="325E28C3"/>
    <w:rsid w:val="327461FD"/>
    <w:rsid w:val="33254E78"/>
    <w:rsid w:val="336D3B82"/>
    <w:rsid w:val="33C1E8C3"/>
    <w:rsid w:val="34384261"/>
    <w:rsid w:val="346DBFE7"/>
    <w:rsid w:val="34BF08FA"/>
    <w:rsid w:val="34C32764"/>
    <w:rsid w:val="34F517A5"/>
    <w:rsid w:val="353FFC66"/>
    <w:rsid w:val="3545EC96"/>
    <w:rsid w:val="3555728A"/>
    <w:rsid w:val="355DB924"/>
    <w:rsid w:val="359F1273"/>
    <w:rsid w:val="360BC03A"/>
    <w:rsid w:val="365EF7C5"/>
    <w:rsid w:val="36D3019D"/>
    <w:rsid w:val="36F142EB"/>
    <w:rsid w:val="373E92C5"/>
    <w:rsid w:val="37D1D944"/>
    <w:rsid w:val="37FAC826"/>
    <w:rsid w:val="38348366"/>
    <w:rsid w:val="38AE8243"/>
    <w:rsid w:val="38E3A381"/>
    <w:rsid w:val="38F8268F"/>
    <w:rsid w:val="38FF9A56"/>
    <w:rsid w:val="3954D982"/>
    <w:rsid w:val="395F1F47"/>
    <w:rsid w:val="3971504B"/>
    <w:rsid w:val="3A28E3AD"/>
    <w:rsid w:val="3A3E3B99"/>
    <w:rsid w:val="3A7F73E2"/>
    <w:rsid w:val="3ADC2C8A"/>
    <w:rsid w:val="3AFD4020"/>
    <w:rsid w:val="3B0899D5"/>
    <w:rsid w:val="3B1FD274"/>
    <w:rsid w:val="3BB46486"/>
    <w:rsid w:val="3BE226F6"/>
    <w:rsid w:val="3BE76133"/>
    <w:rsid w:val="3C524892"/>
    <w:rsid w:val="3C69E9C5"/>
    <w:rsid w:val="3C847265"/>
    <w:rsid w:val="3C871196"/>
    <w:rsid w:val="3CD5E9E9"/>
    <w:rsid w:val="3D057B81"/>
    <w:rsid w:val="3D242391"/>
    <w:rsid w:val="3D435396"/>
    <w:rsid w:val="3D61DC5F"/>
    <w:rsid w:val="3D68CB09"/>
    <w:rsid w:val="3DCD8558"/>
    <w:rsid w:val="3E13CD4C"/>
    <w:rsid w:val="3E75B659"/>
    <w:rsid w:val="3F0C88F0"/>
    <w:rsid w:val="3F42271B"/>
    <w:rsid w:val="3F934CD0"/>
    <w:rsid w:val="4009DAFD"/>
    <w:rsid w:val="400D8AAB"/>
    <w:rsid w:val="40CBA3E0"/>
    <w:rsid w:val="40D2FE4E"/>
    <w:rsid w:val="40E7068A"/>
    <w:rsid w:val="41592CD1"/>
    <w:rsid w:val="4177E02E"/>
    <w:rsid w:val="41A997F2"/>
    <w:rsid w:val="41B072B6"/>
    <w:rsid w:val="41E438E3"/>
    <w:rsid w:val="4209A46C"/>
    <w:rsid w:val="424E75DF"/>
    <w:rsid w:val="4255A652"/>
    <w:rsid w:val="426ECEAF"/>
    <w:rsid w:val="42DB0D95"/>
    <w:rsid w:val="4302DA5F"/>
    <w:rsid w:val="43456853"/>
    <w:rsid w:val="43936515"/>
    <w:rsid w:val="43DFFA13"/>
    <w:rsid w:val="43E65D9F"/>
    <w:rsid w:val="449B42AA"/>
    <w:rsid w:val="44E138B4"/>
    <w:rsid w:val="45F14022"/>
    <w:rsid w:val="461EDF31"/>
    <w:rsid w:val="463AFC6E"/>
    <w:rsid w:val="464F414A"/>
    <w:rsid w:val="4659EAA7"/>
    <w:rsid w:val="466CD578"/>
    <w:rsid w:val="467CCC2F"/>
    <w:rsid w:val="46E18BED"/>
    <w:rsid w:val="4767A4FA"/>
    <w:rsid w:val="478D1083"/>
    <w:rsid w:val="47B6048E"/>
    <w:rsid w:val="47C29ACB"/>
    <w:rsid w:val="47D27B57"/>
    <w:rsid w:val="47EB11AB"/>
    <w:rsid w:val="4882A2F8"/>
    <w:rsid w:val="4888BE2C"/>
    <w:rsid w:val="490E998A"/>
    <w:rsid w:val="492C6006"/>
    <w:rsid w:val="495A992B"/>
    <w:rsid w:val="499ECFE6"/>
    <w:rsid w:val="49FF4C9A"/>
    <w:rsid w:val="4A192CAF"/>
    <w:rsid w:val="4A1E7359"/>
    <w:rsid w:val="4A341F5C"/>
    <w:rsid w:val="4A4A80D2"/>
    <w:rsid w:val="4AAA69EB"/>
    <w:rsid w:val="4ABE3AB0"/>
    <w:rsid w:val="4AF60215"/>
    <w:rsid w:val="4BE81068"/>
    <w:rsid w:val="4C07106C"/>
    <w:rsid w:val="4C232748"/>
    <w:rsid w:val="4C323256"/>
    <w:rsid w:val="4C4C88A8"/>
    <w:rsid w:val="4C5A0B11"/>
    <w:rsid w:val="4CA522E6"/>
    <w:rsid w:val="4D0C02A3"/>
    <w:rsid w:val="4D50CD71"/>
    <w:rsid w:val="4D6BC01E"/>
    <w:rsid w:val="4DEE97B5"/>
    <w:rsid w:val="4E028DD2"/>
    <w:rsid w:val="4E27CAEA"/>
    <w:rsid w:val="4EAC5060"/>
    <w:rsid w:val="4F24A64B"/>
    <w:rsid w:val="4F8A6816"/>
    <w:rsid w:val="4FC8B657"/>
    <w:rsid w:val="500FB094"/>
    <w:rsid w:val="50402486"/>
    <w:rsid w:val="50856EC6"/>
    <w:rsid w:val="5091030B"/>
    <w:rsid w:val="515F6BAC"/>
    <w:rsid w:val="51AB80F5"/>
    <w:rsid w:val="51B1CF51"/>
    <w:rsid w:val="51CEA929"/>
    <w:rsid w:val="52167815"/>
    <w:rsid w:val="521FC836"/>
    <w:rsid w:val="523F3141"/>
    <w:rsid w:val="5319ECE0"/>
    <w:rsid w:val="532DF968"/>
    <w:rsid w:val="53475156"/>
    <w:rsid w:val="53A2703A"/>
    <w:rsid w:val="53DCA22F"/>
    <w:rsid w:val="5402A454"/>
    <w:rsid w:val="547A2666"/>
    <w:rsid w:val="54AD0768"/>
    <w:rsid w:val="551FF395"/>
    <w:rsid w:val="5568B825"/>
    <w:rsid w:val="556F2F94"/>
    <w:rsid w:val="55B65192"/>
    <w:rsid w:val="564D1776"/>
    <w:rsid w:val="56B2E4E9"/>
    <w:rsid w:val="56DA10FC"/>
    <w:rsid w:val="571C130B"/>
    <w:rsid w:val="573C0FB1"/>
    <w:rsid w:val="57BC7005"/>
    <w:rsid w:val="57E4A82A"/>
    <w:rsid w:val="588F09BA"/>
    <w:rsid w:val="58B7E36C"/>
    <w:rsid w:val="58BF9311"/>
    <w:rsid w:val="58D4A236"/>
    <w:rsid w:val="590997D6"/>
    <w:rsid w:val="590C5A5D"/>
    <w:rsid w:val="59BCFEA2"/>
    <w:rsid w:val="59D9BB0E"/>
    <w:rsid w:val="5A13AF57"/>
    <w:rsid w:val="5B064DF2"/>
    <w:rsid w:val="5B0BB6A0"/>
    <w:rsid w:val="5B3FF9F7"/>
    <w:rsid w:val="5BAD821F"/>
    <w:rsid w:val="5BFADA79"/>
    <w:rsid w:val="5C01D1D2"/>
    <w:rsid w:val="5C7369AE"/>
    <w:rsid w:val="5C7A18FF"/>
    <w:rsid w:val="5D9190DD"/>
    <w:rsid w:val="5DA51DAA"/>
    <w:rsid w:val="5DE3E3BD"/>
    <w:rsid w:val="5E13ECC2"/>
    <w:rsid w:val="5E3DEEB4"/>
    <w:rsid w:val="5E4DC90B"/>
    <w:rsid w:val="5E5FCE2B"/>
    <w:rsid w:val="5E8CC707"/>
    <w:rsid w:val="5E9BD64C"/>
    <w:rsid w:val="5EC7A4DE"/>
    <w:rsid w:val="5F2DF939"/>
    <w:rsid w:val="5F38D084"/>
    <w:rsid w:val="5F64B167"/>
    <w:rsid w:val="5FB53A3C"/>
    <w:rsid w:val="5FDAD15F"/>
    <w:rsid w:val="5FF8775E"/>
    <w:rsid w:val="60C17230"/>
    <w:rsid w:val="60D038FC"/>
    <w:rsid w:val="610DB7FD"/>
    <w:rsid w:val="6133DBF2"/>
    <w:rsid w:val="6133F46D"/>
    <w:rsid w:val="61829808"/>
    <w:rsid w:val="61C0B81B"/>
    <w:rsid w:val="61C467C9"/>
    <w:rsid w:val="61EA1952"/>
    <w:rsid w:val="620598DF"/>
    <w:rsid w:val="621CC3A3"/>
    <w:rsid w:val="6266F4CF"/>
    <w:rsid w:val="627C5E40"/>
    <w:rsid w:val="63127221"/>
    <w:rsid w:val="63262BE1"/>
    <w:rsid w:val="633D56A2"/>
    <w:rsid w:val="634AB88B"/>
    <w:rsid w:val="63504173"/>
    <w:rsid w:val="6385E9B3"/>
    <w:rsid w:val="639B1601"/>
    <w:rsid w:val="63A16940"/>
    <w:rsid w:val="640F752F"/>
    <w:rsid w:val="64A8FDF3"/>
    <w:rsid w:val="64ACFBC4"/>
    <w:rsid w:val="64B51DBE"/>
    <w:rsid w:val="64FC088B"/>
    <w:rsid w:val="6502F722"/>
    <w:rsid w:val="65A14D3A"/>
    <w:rsid w:val="65CD202F"/>
    <w:rsid w:val="65D5846A"/>
    <w:rsid w:val="665587DE"/>
    <w:rsid w:val="667F3B9A"/>
    <w:rsid w:val="6682AC9E"/>
    <w:rsid w:val="669C770B"/>
    <w:rsid w:val="66D57395"/>
    <w:rsid w:val="66DFCCFB"/>
    <w:rsid w:val="6732D793"/>
    <w:rsid w:val="675D46B1"/>
    <w:rsid w:val="677154CB"/>
    <w:rsid w:val="6833A94D"/>
    <w:rsid w:val="686169E5"/>
    <w:rsid w:val="6869B4E2"/>
    <w:rsid w:val="688C0527"/>
    <w:rsid w:val="691E6003"/>
    <w:rsid w:val="69553BD3"/>
    <w:rsid w:val="69843E78"/>
    <w:rsid w:val="69B206C6"/>
    <w:rsid w:val="69C1CA29"/>
    <w:rsid w:val="69CB4A4B"/>
    <w:rsid w:val="6A6D684F"/>
    <w:rsid w:val="6A8FF728"/>
    <w:rsid w:val="6B0062F3"/>
    <w:rsid w:val="6B014C3E"/>
    <w:rsid w:val="6B3B1E2C"/>
    <w:rsid w:val="6B6130F7"/>
    <w:rsid w:val="6B7A539F"/>
    <w:rsid w:val="6BE4CF27"/>
    <w:rsid w:val="6C154523"/>
    <w:rsid w:val="6C3A9205"/>
    <w:rsid w:val="6C6649CF"/>
    <w:rsid w:val="6CBB0907"/>
    <w:rsid w:val="6CF1EE22"/>
    <w:rsid w:val="6D6D9F9B"/>
    <w:rsid w:val="6DC324B9"/>
    <w:rsid w:val="6E32940C"/>
    <w:rsid w:val="6E84BDD9"/>
    <w:rsid w:val="6E9C0F95"/>
    <w:rsid w:val="6F3DE978"/>
    <w:rsid w:val="6F7232C7"/>
    <w:rsid w:val="70298EE4"/>
    <w:rsid w:val="70E24FEA"/>
    <w:rsid w:val="7139BAF2"/>
    <w:rsid w:val="71855569"/>
    <w:rsid w:val="71B38B21"/>
    <w:rsid w:val="71F7DAFD"/>
    <w:rsid w:val="722FD078"/>
    <w:rsid w:val="723C4BE4"/>
    <w:rsid w:val="73076BD3"/>
    <w:rsid w:val="734F8412"/>
    <w:rsid w:val="73D81C45"/>
    <w:rsid w:val="73EFE10C"/>
    <w:rsid w:val="74155247"/>
    <w:rsid w:val="7450F68A"/>
    <w:rsid w:val="74715BB4"/>
    <w:rsid w:val="748C0E73"/>
    <w:rsid w:val="74C27AC1"/>
    <w:rsid w:val="74D4254F"/>
    <w:rsid w:val="74FD0007"/>
    <w:rsid w:val="7503C343"/>
    <w:rsid w:val="75080D88"/>
    <w:rsid w:val="7512A5A9"/>
    <w:rsid w:val="752A7269"/>
    <w:rsid w:val="75BCA6E1"/>
    <w:rsid w:val="75FF1A12"/>
    <w:rsid w:val="762EF0BB"/>
    <w:rsid w:val="769299DD"/>
    <w:rsid w:val="772BBCDB"/>
    <w:rsid w:val="7737C1D8"/>
    <w:rsid w:val="77386911"/>
    <w:rsid w:val="775D8BD0"/>
    <w:rsid w:val="77A8FC76"/>
    <w:rsid w:val="77C04DF5"/>
    <w:rsid w:val="77C1B499"/>
    <w:rsid w:val="784A466B"/>
    <w:rsid w:val="78A81E39"/>
    <w:rsid w:val="78B1B403"/>
    <w:rsid w:val="78BD961B"/>
    <w:rsid w:val="79018625"/>
    <w:rsid w:val="79BEC596"/>
    <w:rsid w:val="79D0B2F3"/>
    <w:rsid w:val="7A624B10"/>
    <w:rsid w:val="7A6D4A5F"/>
    <w:rsid w:val="7A7DE700"/>
    <w:rsid w:val="7A9D5686"/>
    <w:rsid w:val="7AD53108"/>
    <w:rsid w:val="7B1F5D8E"/>
    <w:rsid w:val="7B83D381"/>
    <w:rsid w:val="7BD07C62"/>
    <w:rsid w:val="7C60047E"/>
    <w:rsid w:val="7CD6F11D"/>
    <w:rsid w:val="7D03AAFE"/>
    <w:rsid w:val="7D0853B5"/>
    <w:rsid w:val="7D0F8EB5"/>
    <w:rsid w:val="7D47DDDC"/>
    <w:rsid w:val="7D6C4CC3"/>
    <w:rsid w:val="7D88B624"/>
    <w:rsid w:val="7D8BB0EB"/>
    <w:rsid w:val="7D99EBD2"/>
    <w:rsid w:val="7DB587C2"/>
    <w:rsid w:val="7DD4F748"/>
    <w:rsid w:val="7DDBBDD8"/>
    <w:rsid w:val="7DE2AC82"/>
    <w:rsid w:val="7E203833"/>
    <w:rsid w:val="7E5C988E"/>
    <w:rsid w:val="7E7276AD"/>
    <w:rsid w:val="7EAC71E3"/>
    <w:rsid w:val="7F91223E"/>
    <w:rsid w:val="7F9213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80F4"/>
  <w15:chartTrackingRefBased/>
  <w15:docId w15:val="{95248443-BA45-4446-919A-CFD190A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E3FDC"/>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DE3FDC"/>
    <w:pPr>
      <w:keepNext/>
      <w:keepLines/>
      <w:numPr>
        <w:ilvl w:val="1"/>
        <w:numId w:val="17"/>
      </w:numPr>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DE3FDC"/>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rsid w:val="00DE3FDC"/>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DE3FDC"/>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Pealkiri6">
    <w:name w:val="heading 6"/>
    <w:basedOn w:val="Normaallaad"/>
    <w:next w:val="Normaallaad"/>
    <w:link w:val="Pealkiri6Mrk"/>
    <w:uiPriority w:val="9"/>
    <w:semiHidden/>
    <w:unhideWhenUsed/>
    <w:qFormat/>
    <w:rsid w:val="00DE3FDC"/>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semiHidden/>
    <w:unhideWhenUsed/>
    <w:qFormat/>
    <w:rsid w:val="00DE3FDC"/>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Pealkiri8">
    <w:name w:val="heading 8"/>
    <w:basedOn w:val="Normaallaad"/>
    <w:next w:val="Normaallaad"/>
    <w:link w:val="Pealkiri8Mrk"/>
    <w:uiPriority w:val="9"/>
    <w:semiHidden/>
    <w:unhideWhenUsed/>
    <w:qFormat/>
    <w:rsid w:val="00DE3FDC"/>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DE3FDC"/>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32647"/>
    <w:pPr>
      <w:ind w:left="720"/>
      <w:contextualSpacing/>
    </w:pPr>
  </w:style>
  <w:style w:type="character" w:styleId="Hperlink">
    <w:name w:val="Hyperlink"/>
    <w:basedOn w:val="Liguvaikefont"/>
    <w:uiPriority w:val="99"/>
    <w:unhideWhenUsed/>
    <w:rPr>
      <w:color w:val="0563C1" w:themeColor="hyperlink"/>
      <w:u w:val="single"/>
    </w:rPr>
  </w:style>
  <w:style w:type="character" w:styleId="Allmrkuseviide">
    <w:name w:val="footnote reference"/>
    <w:basedOn w:val="Liguvaikefont"/>
    <w:uiPriority w:val="99"/>
    <w:semiHidden/>
    <w:unhideWhenUsed/>
    <w:rPr>
      <w:vertAlign w:val="superscript"/>
    </w:rPr>
  </w:style>
  <w:style w:type="character" w:customStyle="1" w:styleId="AllmrkusetekstMrk">
    <w:name w:val="Allmärkuse tekst Märk"/>
    <w:basedOn w:val="Liguvaikefont"/>
    <w:link w:val="Allmrkusetekst"/>
    <w:uiPriority w:val="99"/>
    <w:semiHidden/>
    <w:rPr>
      <w:sz w:val="20"/>
      <w:szCs w:val="20"/>
    </w:rPr>
  </w:style>
  <w:style w:type="paragraph" w:styleId="Allmrkusetekst">
    <w:name w:val="footnote text"/>
    <w:basedOn w:val="Normaallaad"/>
    <w:link w:val="AllmrkusetekstMrk"/>
    <w:uiPriority w:val="99"/>
    <w:semiHidden/>
    <w:unhideWhenUsed/>
    <w:pPr>
      <w:spacing w:after="0" w:line="240" w:lineRule="auto"/>
    </w:pPr>
    <w:rPr>
      <w:sz w:val="20"/>
      <w:szCs w:val="20"/>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8F7C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F7CA3"/>
    <w:rPr>
      <w:rFonts w:ascii="Segoe UI" w:hAnsi="Segoe UI" w:cs="Segoe UI"/>
      <w:sz w:val="18"/>
      <w:szCs w:val="18"/>
    </w:rPr>
  </w:style>
  <w:style w:type="character" w:customStyle="1" w:styleId="Lahendamatamainimine1">
    <w:name w:val="Lahendamata mainimine1"/>
    <w:basedOn w:val="Liguvaikefont"/>
    <w:uiPriority w:val="99"/>
    <w:semiHidden/>
    <w:unhideWhenUsed/>
    <w:rsid w:val="004A2823"/>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315B26"/>
    <w:rPr>
      <w:b/>
      <w:bCs/>
    </w:rPr>
  </w:style>
  <w:style w:type="character" w:customStyle="1" w:styleId="KommentaariteemaMrk">
    <w:name w:val="Kommentaari teema Märk"/>
    <w:basedOn w:val="KommentaaritekstMrk"/>
    <w:link w:val="Kommentaariteema"/>
    <w:uiPriority w:val="99"/>
    <w:semiHidden/>
    <w:rsid w:val="00315B26"/>
    <w:rPr>
      <w:b/>
      <w:bCs/>
      <w:sz w:val="20"/>
      <w:szCs w:val="20"/>
    </w:rPr>
  </w:style>
  <w:style w:type="character" w:styleId="Klastatudhperlink">
    <w:name w:val="FollowedHyperlink"/>
    <w:basedOn w:val="Liguvaikefont"/>
    <w:uiPriority w:val="99"/>
    <w:semiHidden/>
    <w:unhideWhenUsed/>
    <w:rsid w:val="009E65A1"/>
    <w:rPr>
      <w:color w:val="954F72" w:themeColor="followedHyperlink"/>
      <w:u w:val="single"/>
    </w:rPr>
  </w:style>
  <w:style w:type="character" w:customStyle="1" w:styleId="Pealkiri2Mrk">
    <w:name w:val="Pealkiri 2 Märk"/>
    <w:basedOn w:val="Liguvaikefont"/>
    <w:link w:val="Pealkiri2"/>
    <w:uiPriority w:val="9"/>
    <w:rsid w:val="00DE3FDC"/>
    <w:rPr>
      <w:rFonts w:asciiTheme="majorHAnsi" w:eastAsiaTheme="majorEastAsia" w:hAnsiTheme="majorHAnsi" w:cstheme="majorBidi"/>
      <w:color w:val="2E74B5" w:themeColor="accent1" w:themeShade="BF"/>
      <w:sz w:val="26"/>
      <w:szCs w:val="26"/>
    </w:rPr>
  </w:style>
  <w:style w:type="paragraph" w:styleId="Alapealkiri">
    <w:name w:val="Subtitle"/>
    <w:basedOn w:val="Normaallaad"/>
    <w:next w:val="Normaallaad"/>
    <w:link w:val="AlapealkiriMrk"/>
    <w:uiPriority w:val="11"/>
    <w:qFormat/>
    <w:rsid w:val="00DE3FDC"/>
    <w:pPr>
      <w:numPr>
        <w:ilvl w:val="1"/>
      </w:numPr>
    </w:pPr>
    <w:rPr>
      <w:rFonts w:eastAsiaTheme="minorEastAsia"/>
      <w:color w:val="5A5A5A" w:themeColor="text1" w:themeTint="A5"/>
      <w:spacing w:val="15"/>
    </w:rPr>
  </w:style>
  <w:style w:type="character" w:customStyle="1" w:styleId="AlapealkiriMrk">
    <w:name w:val="Alapealkiri Märk"/>
    <w:basedOn w:val="Liguvaikefont"/>
    <w:link w:val="Alapealkiri"/>
    <w:uiPriority w:val="11"/>
    <w:rsid w:val="00DE3FDC"/>
    <w:rPr>
      <w:rFonts w:eastAsiaTheme="minorEastAsia"/>
      <w:color w:val="5A5A5A" w:themeColor="text1" w:themeTint="A5"/>
      <w:spacing w:val="15"/>
    </w:rPr>
  </w:style>
  <w:style w:type="character" w:customStyle="1" w:styleId="Pealkiri1Mrk">
    <w:name w:val="Pealkiri 1 Märk"/>
    <w:basedOn w:val="Liguvaikefont"/>
    <w:link w:val="Pealkiri1"/>
    <w:uiPriority w:val="9"/>
    <w:rsid w:val="00DE3FDC"/>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rsid w:val="00DE3FDC"/>
    <w:rPr>
      <w:rFonts w:asciiTheme="majorHAnsi" w:eastAsiaTheme="majorEastAsia" w:hAnsiTheme="majorHAnsi" w:cstheme="majorBidi"/>
      <w:color w:val="1F4D78" w:themeColor="accent1" w:themeShade="7F"/>
      <w:sz w:val="24"/>
      <w:szCs w:val="24"/>
    </w:rPr>
  </w:style>
  <w:style w:type="character" w:customStyle="1" w:styleId="Pealkiri4Mrk">
    <w:name w:val="Pealkiri 4 Märk"/>
    <w:basedOn w:val="Liguvaikefont"/>
    <w:link w:val="Pealkiri4"/>
    <w:uiPriority w:val="9"/>
    <w:rsid w:val="00DE3FDC"/>
    <w:rPr>
      <w:rFonts w:asciiTheme="majorHAnsi" w:eastAsiaTheme="majorEastAsia" w:hAnsiTheme="majorHAnsi" w:cstheme="majorBidi"/>
      <w:i/>
      <w:iCs/>
      <w:color w:val="2E74B5" w:themeColor="accent1" w:themeShade="BF"/>
    </w:rPr>
  </w:style>
  <w:style w:type="character" w:customStyle="1" w:styleId="Pealkiri5Mrk">
    <w:name w:val="Pealkiri 5 Märk"/>
    <w:basedOn w:val="Liguvaikefont"/>
    <w:link w:val="Pealkiri5"/>
    <w:uiPriority w:val="9"/>
    <w:semiHidden/>
    <w:rsid w:val="00DE3FDC"/>
    <w:rPr>
      <w:rFonts w:asciiTheme="majorHAnsi" w:eastAsiaTheme="majorEastAsia" w:hAnsiTheme="majorHAnsi" w:cstheme="majorBidi"/>
      <w:color w:val="2E74B5" w:themeColor="accent1" w:themeShade="BF"/>
    </w:rPr>
  </w:style>
  <w:style w:type="character" w:customStyle="1" w:styleId="Pealkiri6Mrk">
    <w:name w:val="Pealkiri 6 Märk"/>
    <w:basedOn w:val="Liguvaikefont"/>
    <w:link w:val="Pealkiri6"/>
    <w:uiPriority w:val="9"/>
    <w:semiHidden/>
    <w:rsid w:val="00DE3FDC"/>
    <w:rPr>
      <w:rFonts w:asciiTheme="majorHAnsi" w:eastAsiaTheme="majorEastAsia" w:hAnsiTheme="majorHAnsi" w:cstheme="majorBidi"/>
      <w:color w:val="1F4D78" w:themeColor="accent1" w:themeShade="7F"/>
    </w:rPr>
  </w:style>
  <w:style w:type="character" w:customStyle="1" w:styleId="Pealkiri7Mrk">
    <w:name w:val="Pealkiri 7 Märk"/>
    <w:basedOn w:val="Liguvaikefont"/>
    <w:link w:val="Pealkiri7"/>
    <w:uiPriority w:val="9"/>
    <w:semiHidden/>
    <w:rsid w:val="00DE3FDC"/>
    <w:rPr>
      <w:rFonts w:asciiTheme="majorHAnsi" w:eastAsiaTheme="majorEastAsia" w:hAnsiTheme="majorHAnsi" w:cstheme="majorBidi"/>
      <w:i/>
      <w:iCs/>
      <w:color w:val="1F4D78" w:themeColor="accent1" w:themeShade="7F"/>
    </w:rPr>
  </w:style>
  <w:style w:type="character" w:customStyle="1" w:styleId="Pealkiri8Mrk">
    <w:name w:val="Pealkiri 8 Märk"/>
    <w:basedOn w:val="Liguvaikefont"/>
    <w:link w:val="Pealkiri8"/>
    <w:uiPriority w:val="9"/>
    <w:semiHidden/>
    <w:rsid w:val="00DE3FDC"/>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DE3FDC"/>
    <w:rPr>
      <w:rFonts w:asciiTheme="majorHAnsi" w:eastAsiaTheme="majorEastAsia" w:hAnsiTheme="majorHAnsi" w:cstheme="majorBidi"/>
      <w:i/>
      <w:iCs/>
      <w:color w:val="272727" w:themeColor="text1" w:themeTint="D8"/>
      <w:sz w:val="21"/>
      <w:szCs w:val="21"/>
    </w:rPr>
  </w:style>
  <w:style w:type="paragraph" w:styleId="Pis">
    <w:name w:val="header"/>
    <w:basedOn w:val="Normaallaad"/>
    <w:link w:val="PisMrk"/>
    <w:uiPriority w:val="99"/>
    <w:unhideWhenUsed/>
    <w:rsid w:val="00200D98"/>
    <w:pPr>
      <w:tabs>
        <w:tab w:val="center" w:pos="4536"/>
        <w:tab w:val="right" w:pos="9072"/>
      </w:tabs>
      <w:spacing w:after="0" w:line="240" w:lineRule="auto"/>
    </w:pPr>
  </w:style>
  <w:style w:type="character" w:customStyle="1" w:styleId="PisMrk">
    <w:name w:val="Päis Märk"/>
    <w:basedOn w:val="Liguvaikefont"/>
    <w:link w:val="Pis"/>
    <w:uiPriority w:val="99"/>
    <w:rsid w:val="00200D98"/>
  </w:style>
  <w:style w:type="paragraph" w:styleId="Jalus">
    <w:name w:val="footer"/>
    <w:basedOn w:val="Normaallaad"/>
    <w:link w:val="JalusMrk"/>
    <w:uiPriority w:val="99"/>
    <w:unhideWhenUsed/>
    <w:rsid w:val="00200D98"/>
    <w:pPr>
      <w:tabs>
        <w:tab w:val="center" w:pos="4536"/>
        <w:tab w:val="right" w:pos="9072"/>
      </w:tabs>
      <w:spacing w:after="0" w:line="240" w:lineRule="auto"/>
    </w:pPr>
  </w:style>
  <w:style w:type="character" w:customStyle="1" w:styleId="JalusMrk">
    <w:name w:val="Jalus Märk"/>
    <w:basedOn w:val="Liguvaikefont"/>
    <w:link w:val="Jalus"/>
    <w:uiPriority w:val="99"/>
    <w:rsid w:val="00200D98"/>
  </w:style>
  <w:style w:type="character" w:styleId="Lahendamatamainimine">
    <w:name w:val="Unresolved Mention"/>
    <w:basedOn w:val="Liguvaikefont"/>
    <w:uiPriority w:val="99"/>
    <w:semiHidden/>
    <w:unhideWhenUsed/>
    <w:rsid w:val="00EE1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0102">
      <w:bodyDiv w:val="1"/>
      <w:marLeft w:val="0"/>
      <w:marRight w:val="0"/>
      <w:marTop w:val="0"/>
      <w:marBottom w:val="0"/>
      <w:divBdr>
        <w:top w:val="none" w:sz="0" w:space="0" w:color="auto"/>
        <w:left w:val="none" w:sz="0" w:space="0" w:color="auto"/>
        <w:bottom w:val="none" w:sz="0" w:space="0" w:color="auto"/>
        <w:right w:val="none" w:sz="0" w:space="0" w:color="auto"/>
      </w:divBdr>
    </w:div>
    <w:div w:id="19148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PDF/?uri=CELEX:52021XC0916(03)&amp;from=EN" TargetMode="External"/><Relationship Id="rId13" Type="http://schemas.openxmlformats.org/officeDocument/2006/relationships/hyperlink" Target="https://envir.ee/media/937/download" TargetMode="External"/><Relationship Id="rId18" Type="http://schemas.openxmlformats.org/officeDocument/2006/relationships/hyperlink" Target="https://minuomavalitsus.fin.ee/" TargetMode="External"/><Relationship Id="rId3" Type="http://schemas.openxmlformats.org/officeDocument/2006/relationships/styles" Target="styles.xml"/><Relationship Id="rId21" Type="http://schemas.openxmlformats.org/officeDocument/2006/relationships/hyperlink" Target="https://envir.ee/keskkonnakasutus/vesi/uleujutused" TargetMode="External"/><Relationship Id="rId7" Type="http://schemas.openxmlformats.org/officeDocument/2006/relationships/endnotes" Target="endnotes.xml"/><Relationship Id="rId12" Type="http://schemas.openxmlformats.org/officeDocument/2006/relationships/hyperlink" Target="https://envir.ee/media/928/download" TargetMode="External"/><Relationship Id="rId17" Type="http://schemas.openxmlformats.org/officeDocument/2006/relationships/hyperlink" Target="https://envir.ee/media/932/downlo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vir.ee/media/943/download" TargetMode="External"/><Relationship Id="rId20" Type="http://schemas.openxmlformats.org/officeDocument/2006/relationships/hyperlink" Target="https://geoportaal.maaamet.ee/est/Kaardirakendused/Soojussaared/Soojussaarte-kaardirakenduse-kirjeldus-p72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b.org/en/about/documents/footprint-methodologies.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vir.ee/media/940/download" TargetMode="External"/><Relationship Id="rId23" Type="http://schemas.openxmlformats.org/officeDocument/2006/relationships/footer" Target="footer1.xml"/><Relationship Id="rId10" Type="http://schemas.openxmlformats.org/officeDocument/2006/relationships/hyperlink" Target="https://www.eib.org/en/publications/eib-project-carbon-footprint-methodologies" TargetMode="External"/><Relationship Id="rId19" Type="http://schemas.openxmlformats.org/officeDocument/2006/relationships/hyperlink" Target="https://geoportaal.maaamet.ee/est/Kaardirakendused/Uleujutusohuga-alad/Uleujutusohuga-alade-kaardirakenduse-kirjeldus-p467.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vir.ee/media/934/download" TargetMode="External"/><Relationship Id="rId22" Type="http://schemas.openxmlformats.org/officeDocument/2006/relationships/hyperlink" Target="https://www.railbaltica.org/wp-content/uploads/2021/06/RBDG-MAN-029-0102_AdaptionToClimateChang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est.kasvuhoonegaasid.ee/" TargetMode="External"/><Relationship Id="rId2" Type="http://schemas.openxmlformats.org/officeDocument/2006/relationships/hyperlink" Target="https://eur-lex.europa.eu/legal-content/ET/TXT/PDF/?uri=CELEX:52021XC0916(03)&amp;from=EN" TargetMode="External"/><Relationship Id="rId1" Type="http://schemas.openxmlformats.org/officeDocument/2006/relationships/hyperlink" Target="https://eur-lex.europa.eu/legal-content/ET/TXT/?uri=CELEX:32021R1060" TargetMode="External"/><Relationship Id="rId4" Type="http://schemas.openxmlformats.org/officeDocument/2006/relationships/hyperlink" Target="https://www.ipcc-nggip.iges.or.jp/EFDB/main.php"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E4E3-4D2D-45BE-88FB-428CF533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3323</Words>
  <Characters>19275</Characters>
  <Application>Microsoft Office Word</Application>
  <DocSecurity>0</DocSecurity>
  <Lines>160</Lines>
  <Paragraphs>45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Remmelgas</dc:creator>
  <cp:keywords/>
  <dc:description/>
  <cp:lastModifiedBy>Kristel Lopsik</cp:lastModifiedBy>
  <cp:revision>6</cp:revision>
  <dcterms:created xsi:type="dcterms:W3CDTF">2022-06-17T14:14:00Z</dcterms:created>
  <dcterms:modified xsi:type="dcterms:W3CDTF">2022-09-08T13:01:00Z</dcterms:modified>
</cp:coreProperties>
</file>