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583F" w14:textId="77777777" w:rsidR="00270919" w:rsidRDefault="00270919">
      <w:pPr>
        <w:jc w:val="center"/>
        <w:rPr>
          <w:rFonts w:ascii="Times" w:eastAsia="Times" w:hAnsi="Times" w:cs="Times"/>
          <w:b/>
          <w:sz w:val="24"/>
          <w:szCs w:val="24"/>
        </w:rPr>
      </w:pPr>
    </w:p>
    <w:p w14:paraId="4728847F" w14:textId="72073B59" w:rsidR="002B7C76" w:rsidRDefault="00EB235A">
      <w:pPr>
        <w:jc w:val="center"/>
        <w:rPr>
          <w:rFonts w:ascii="Times" w:eastAsia="Times" w:hAnsi="Times" w:cs="Times"/>
          <w:sz w:val="24"/>
          <w:szCs w:val="24"/>
        </w:rPr>
      </w:pPr>
      <w:r>
        <w:rPr>
          <w:rFonts w:ascii="Times" w:eastAsia="Times" w:hAnsi="Times" w:cs="Times"/>
          <w:b/>
          <w:sz w:val="24"/>
          <w:szCs w:val="24"/>
        </w:rPr>
        <w:t>LÄBI</w:t>
      </w:r>
      <w:r w:rsidR="005A5072">
        <w:rPr>
          <w:rFonts w:ascii="Times" w:eastAsia="Times" w:hAnsi="Times" w:cs="Times"/>
          <w:b/>
          <w:sz w:val="24"/>
          <w:szCs w:val="24"/>
        </w:rPr>
        <w:t>V</w:t>
      </w:r>
      <w:r>
        <w:rPr>
          <w:rFonts w:ascii="Times" w:eastAsia="Times" w:hAnsi="Times" w:cs="Times"/>
          <w:b/>
          <w:sz w:val="24"/>
          <w:szCs w:val="24"/>
        </w:rPr>
        <w:t>AD</w:t>
      </w:r>
      <w:r w:rsidR="00AE241A">
        <w:rPr>
          <w:rFonts w:ascii="Times" w:eastAsia="Times" w:hAnsi="Times" w:cs="Times"/>
          <w:b/>
          <w:sz w:val="24"/>
          <w:szCs w:val="24"/>
        </w:rPr>
        <w:t xml:space="preserve"> VALIKUKRITEERIUMID, MIDA KOHALDATAKSE KÕIKIDELE ÜHTEKUULUVUSPOLIITIKA 2021-2027 RAKENDUSKAVA  POLIITIKAEESMÄRKIDELE NING NENDE RAAMES TOETATAVATELE MEETMETELE </w:t>
      </w:r>
      <w:r w:rsidR="00AE241A">
        <w:rPr>
          <w:rFonts w:ascii="Times" w:eastAsia="Times" w:hAnsi="Times" w:cs="Times"/>
          <w:sz w:val="24"/>
          <w:szCs w:val="24"/>
        </w:rPr>
        <w:t xml:space="preserve"> </w:t>
      </w:r>
    </w:p>
    <w:p w14:paraId="786FE392" w14:textId="77777777" w:rsidR="002B7C76" w:rsidRDefault="00AE241A" w:rsidP="00322735">
      <w:pPr>
        <w:numPr>
          <w:ilvl w:val="0"/>
          <w:numId w:val="3"/>
        </w:numPr>
        <w:spacing w:before="720"/>
        <w:ind w:left="357"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Õiguslik raamistik ja kohaldamise suunised</w:t>
      </w:r>
    </w:p>
    <w:p w14:paraId="777A620E" w14:textId="77777777" w:rsidR="002B7C76" w:rsidRDefault="00AE241A">
      <w:pPr>
        <w:spacing w:before="120" w:after="0" w:line="24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sz w:val="24"/>
          <w:szCs w:val="24"/>
        </w:rPr>
        <w:t xml:space="preserve">Vastavalt Euroopa Parlamendi ja Nõukogu määruse </w:t>
      </w:r>
      <w:hyperlink r:id="rId8">
        <w:r>
          <w:rPr>
            <w:rFonts w:ascii="Times New Roman" w:eastAsia="Times New Roman" w:hAnsi="Times New Roman" w:cs="Times New Roman"/>
            <w:color w:val="0563C1"/>
            <w:sz w:val="24"/>
            <w:szCs w:val="24"/>
            <w:u w:val="single"/>
          </w:rPr>
          <w:t>(EL) 2021/1060</w:t>
        </w:r>
      </w:hyperlink>
      <w:r>
        <w:rPr>
          <w:rFonts w:ascii="Times New Roman" w:eastAsia="Times New Roman" w:hAnsi="Times New Roman" w:cs="Times New Roman"/>
          <w:color w:val="0563C1"/>
          <w:sz w:val="24"/>
          <w:szCs w:val="24"/>
          <w:u w:val="single"/>
          <w:vertAlign w:val="superscript"/>
        </w:rPr>
        <w:footnoteReference w:id="1"/>
      </w:r>
      <w:r>
        <w:rPr>
          <w:rFonts w:ascii="Times New Roman" w:eastAsia="Times New Roman" w:hAnsi="Times New Roman" w:cs="Times New Roman"/>
          <w:sz w:val="24"/>
          <w:szCs w:val="24"/>
        </w:rPr>
        <w:t xml:space="preserve"> (edaspidi ÜSM) artikli 73 lõigetele 1 ja 2</w:t>
      </w:r>
      <w:r>
        <w:rPr>
          <w:rFonts w:ascii="Times New Roman" w:eastAsia="Times New Roman" w:hAnsi="Times New Roman" w:cs="Times New Roman"/>
          <w:color w:val="000000"/>
          <w:sz w:val="24"/>
          <w:szCs w:val="24"/>
        </w:rPr>
        <w:t xml:space="preserve"> korraldusasutus (või rakendusasutus, rakendusüksus) koostab ja seirekomisjoni poolse heakskiitmise järel kohaldab projektide valikul kriteeriume, mis tagavad, et:</w:t>
      </w:r>
    </w:p>
    <w:tbl>
      <w:tblPr>
        <w:tblStyle w:val="a"/>
        <w:tblW w:w="9072" w:type="dxa"/>
        <w:tblInd w:w="0" w:type="dxa"/>
        <w:tblLayout w:type="fixed"/>
        <w:tblLook w:val="0400" w:firstRow="0" w:lastRow="0" w:firstColumn="0" w:lastColumn="0" w:noHBand="0" w:noVBand="1"/>
      </w:tblPr>
      <w:tblGrid>
        <w:gridCol w:w="20"/>
        <w:gridCol w:w="9052"/>
      </w:tblGrid>
      <w:tr w:rsidR="002B7C76" w14:paraId="2A21EA65" w14:textId="77777777" w:rsidTr="004F2325">
        <w:trPr>
          <w:trHeight w:val="1135"/>
        </w:trPr>
        <w:tc>
          <w:tcPr>
            <w:tcW w:w="20" w:type="dxa"/>
          </w:tcPr>
          <w:p w14:paraId="2D10A368" w14:textId="77777777" w:rsidR="002B7C76" w:rsidRDefault="002B7C76" w:rsidP="00BB6AE7">
            <w:pPr>
              <w:numPr>
                <w:ilvl w:val="0"/>
                <w:numId w:val="2"/>
              </w:numPr>
              <w:spacing w:before="120" w:after="0"/>
              <w:jc w:val="both"/>
              <w:rPr>
                <w:rFonts w:ascii="Times New Roman" w:eastAsia="Times New Roman" w:hAnsi="Times New Roman" w:cs="Times New Roman"/>
                <w:color w:val="000000"/>
                <w:sz w:val="24"/>
                <w:szCs w:val="24"/>
              </w:rPr>
            </w:pPr>
          </w:p>
        </w:tc>
        <w:tc>
          <w:tcPr>
            <w:tcW w:w="9052" w:type="dxa"/>
          </w:tcPr>
          <w:p w14:paraId="72598B0B" w14:textId="7007D637" w:rsidR="002B7C76" w:rsidRDefault="00EB235A" w:rsidP="00DB23AB">
            <w:pPr>
              <w:spacing w:before="120" w:after="0"/>
              <w:jc w:val="both"/>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 xml:space="preserve">1.1. </w:t>
            </w:r>
            <w:r w:rsidR="00AE241A">
              <w:rPr>
                <w:rFonts w:ascii="Times New Roman" w:eastAsia="Times New Roman" w:hAnsi="Times New Roman" w:cs="Times New Roman"/>
                <w:color w:val="000000"/>
                <w:sz w:val="24"/>
                <w:szCs w:val="24"/>
              </w:rPr>
              <w:t xml:space="preserve"> projektid aitavad kaasa poliitikaeesmärkide täitmisele ja tulemuste saavutamisele ning on kooskõlas rakenduskava eeltingimuste täitmiseks kehtestatud alusstrateegiatega; </w:t>
            </w:r>
          </w:p>
          <w:p w14:paraId="70382306" w14:textId="6CF48894" w:rsidR="002B7C76" w:rsidRDefault="00EB235A" w:rsidP="00DB23AB">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AE241A">
              <w:rPr>
                <w:rFonts w:ascii="Times New Roman" w:eastAsia="Times New Roman" w:hAnsi="Times New Roman" w:cs="Times New Roman"/>
                <w:color w:val="000000"/>
                <w:sz w:val="24"/>
                <w:szCs w:val="24"/>
              </w:rPr>
              <w:t xml:space="preserve">valitud tegevused esindavad toetuse summa, </w:t>
            </w:r>
            <w:proofErr w:type="spellStart"/>
            <w:r w:rsidR="00AE241A">
              <w:rPr>
                <w:rFonts w:ascii="Times New Roman" w:eastAsia="Times New Roman" w:hAnsi="Times New Roman" w:cs="Times New Roman"/>
                <w:color w:val="000000"/>
                <w:sz w:val="24"/>
                <w:szCs w:val="24"/>
              </w:rPr>
              <w:t>elluviidud</w:t>
            </w:r>
            <w:proofErr w:type="spellEnd"/>
            <w:r w:rsidR="00AE241A">
              <w:rPr>
                <w:rFonts w:ascii="Times New Roman" w:eastAsia="Times New Roman" w:hAnsi="Times New Roman" w:cs="Times New Roman"/>
                <w:color w:val="000000"/>
                <w:sz w:val="24"/>
                <w:szCs w:val="24"/>
              </w:rPr>
              <w:t xml:space="preserve"> tegevuste ja eesmärkide  saavutamise vahelist parimat suhet;</w:t>
            </w:r>
          </w:p>
          <w:p w14:paraId="34A48B1A" w14:textId="552D129B" w:rsidR="002B7C76" w:rsidRDefault="00EB235A" w:rsidP="00DB23AB">
            <w:pPr>
              <w:spacing w:before="120" w:after="0"/>
              <w:jc w:val="both"/>
              <w:rPr>
                <w:rFonts w:ascii="Times New Roman" w:eastAsia="Times New Roman" w:hAnsi="Times New Roman" w:cs="Times New Roman"/>
                <w:color w:val="000000"/>
                <w:sz w:val="24"/>
                <w:szCs w:val="24"/>
              </w:rPr>
            </w:pPr>
            <w:bookmarkStart w:id="2" w:name="_1fob9te" w:colFirst="0" w:colLast="0"/>
            <w:bookmarkEnd w:id="2"/>
            <w:r>
              <w:rPr>
                <w:rFonts w:ascii="Times New Roman" w:eastAsia="Times New Roman" w:hAnsi="Times New Roman" w:cs="Times New Roman"/>
                <w:color w:val="000000"/>
                <w:sz w:val="24"/>
                <w:szCs w:val="24"/>
              </w:rPr>
              <w:t>1.3.</w:t>
            </w:r>
            <w:r w:rsidR="00AE241A">
              <w:rPr>
                <w:rFonts w:ascii="Times New Roman" w:eastAsia="Times New Roman" w:hAnsi="Times New Roman" w:cs="Times New Roman"/>
                <w:color w:val="000000"/>
                <w:sz w:val="24"/>
                <w:szCs w:val="24"/>
              </w:rPr>
              <w:t xml:space="preserve"> kontrollib, et toetuse taotlejal/saajal</w:t>
            </w:r>
            <w:r w:rsidR="00AE241A">
              <w:rPr>
                <w:rFonts w:ascii="Times New Roman" w:eastAsia="Times New Roman" w:hAnsi="Times New Roman" w:cs="Times New Roman"/>
                <w:color w:val="000000"/>
                <w:sz w:val="24"/>
                <w:szCs w:val="24"/>
                <w:vertAlign w:val="superscript"/>
              </w:rPr>
              <w:footnoteReference w:id="2"/>
            </w:r>
            <w:r w:rsidR="00AE241A">
              <w:rPr>
                <w:rFonts w:ascii="Times New Roman" w:eastAsia="Times New Roman" w:hAnsi="Times New Roman" w:cs="Times New Roman"/>
                <w:color w:val="000000"/>
                <w:sz w:val="24"/>
                <w:szCs w:val="24"/>
              </w:rPr>
              <w:t xml:space="preserve"> on haldus-, finants- ja toimimissuutlikkus, mis on vajalik projekti elluviimiseks ja jätkusuutlikkuse tagamiseks;</w:t>
            </w:r>
          </w:p>
          <w:p w14:paraId="277929E8" w14:textId="1B63CE97" w:rsidR="002B7C76" w:rsidRDefault="00EB235A" w:rsidP="00DB23AB">
            <w:pPr>
              <w:spacing w:before="120" w:after="0"/>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sz w:val="24"/>
                <w:szCs w:val="24"/>
              </w:rPr>
              <w:t>1.4.</w:t>
            </w:r>
            <w:r w:rsidR="00AE241A">
              <w:rPr>
                <w:rFonts w:ascii="Times New Roman" w:eastAsia="Times New Roman" w:hAnsi="Times New Roman" w:cs="Times New Roman"/>
                <w:sz w:val="24"/>
                <w:szCs w:val="24"/>
              </w:rPr>
              <w:t xml:space="preserve"> Euroopa Parlamendi ja nõukogu direktiivi 2011/92/EL</w:t>
            </w:r>
            <w:r w:rsidR="00AE241A">
              <w:rPr>
                <w:rFonts w:ascii="Times New Roman" w:eastAsia="Times New Roman" w:hAnsi="Times New Roman" w:cs="Times New Roman"/>
                <w:sz w:val="24"/>
                <w:szCs w:val="24"/>
                <w:vertAlign w:val="superscript"/>
              </w:rPr>
              <w:footnoteReference w:id="3"/>
            </w:r>
            <w:r w:rsidR="00AE241A">
              <w:rPr>
                <w:rFonts w:ascii="Times New Roman" w:eastAsia="Times New Roman" w:hAnsi="Times New Roman" w:cs="Times New Roman"/>
                <w:sz w:val="24"/>
                <w:szCs w:val="24"/>
              </w:rPr>
              <w:t xml:space="preserve">  kohaldamisalasse kuuluvate valitud tegevuste suhtes kohaldatakse keskkonnamõju hindamist või sõelumismenetlust ning et on piisavalt arvesse võetud alternatiivsete lahenduste hindamist, võttes aluseks nõuded, mis on sätestatud kõnealuses direktiivis (lähtudes keskkonnamõju hindamise ja keskkonnajuhtimissüsteemi seadusest </w:t>
            </w:r>
            <w:proofErr w:type="spellStart"/>
            <w:r w:rsidR="00AE241A">
              <w:rPr>
                <w:rFonts w:ascii="Times New Roman" w:eastAsia="Times New Roman" w:hAnsi="Times New Roman" w:cs="Times New Roman"/>
                <w:sz w:val="24"/>
                <w:szCs w:val="24"/>
              </w:rPr>
              <w:t>KeHJS</w:t>
            </w:r>
            <w:proofErr w:type="spellEnd"/>
            <w:r w:rsidR="00AE241A">
              <w:rPr>
                <w:rFonts w:ascii="Times New Roman" w:eastAsia="Times New Roman" w:hAnsi="Times New Roman" w:cs="Times New Roman"/>
                <w:sz w:val="24"/>
                <w:szCs w:val="24"/>
              </w:rPr>
              <w:t>);</w:t>
            </w:r>
          </w:p>
          <w:p w14:paraId="6E496B5E" w14:textId="45A60133" w:rsidR="002B7C76" w:rsidRDefault="00EB235A" w:rsidP="00DB23AB">
            <w:pPr>
              <w:spacing w:before="120" w:after="0"/>
              <w:jc w:val="both"/>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color w:val="000000"/>
                <w:sz w:val="24"/>
                <w:szCs w:val="24"/>
              </w:rPr>
              <w:t>1.5.</w:t>
            </w:r>
            <w:r w:rsidR="00AE241A">
              <w:rPr>
                <w:rFonts w:ascii="Times New Roman" w:eastAsia="Times New Roman" w:hAnsi="Times New Roman" w:cs="Times New Roman"/>
                <w:color w:val="000000"/>
                <w:sz w:val="24"/>
                <w:szCs w:val="24"/>
              </w:rPr>
              <w:t xml:space="preserve"> juhul, kui tegevustega on alustatud enne taotluse esitamist, on järgitud kohalduvat õigust;</w:t>
            </w:r>
          </w:p>
          <w:p w14:paraId="11A8D6EF" w14:textId="0628A557" w:rsidR="002B7C76" w:rsidRDefault="00EB235A" w:rsidP="00DB23AB">
            <w:pPr>
              <w:spacing w:before="120" w:after="0"/>
              <w:jc w:val="both"/>
              <w:rPr>
                <w:rFonts w:ascii="Times New Roman" w:eastAsia="Times New Roman" w:hAnsi="Times New Roman" w:cs="Times New Roman"/>
                <w:color w:val="000000"/>
                <w:sz w:val="24"/>
                <w:szCs w:val="24"/>
              </w:rPr>
            </w:pPr>
            <w:bookmarkStart w:id="5" w:name="_tyjcwt" w:colFirst="0" w:colLast="0"/>
            <w:bookmarkEnd w:id="5"/>
            <w:r>
              <w:rPr>
                <w:rFonts w:ascii="Times New Roman" w:eastAsia="Times New Roman" w:hAnsi="Times New Roman" w:cs="Times New Roman"/>
                <w:color w:val="000000"/>
                <w:sz w:val="24"/>
                <w:szCs w:val="24"/>
              </w:rPr>
              <w:t>1.6.</w:t>
            </w:r>
            <w:r w:rsidR="00AE241A">
              <w:rPr>
                <w:rFonts w:ascii="Times New Roman" w:eastAsia="Times New Roman" w:hAnsi="Times New Roman" w:cs="Times New Roman"/>
                <w:color w:val="000000"/>
                <w:sz w:val="24"/>
                <w:szCs w:val="24"/>
              </w:rPr>
              <w:t xml:space="preserve"> valitud tegevused on asjaomase fondi kohaldamisalas ja omistatud ühele sekkumise liigile;</w:t>
            </w:r>
          </w:p>
          <w:p w14:paraId="154A43F4" w14:textId="4FC0A20D" w:rsidR="002B7C76" w:rsidRDefault="00EB235A" w:rsidP="00DB23AB">
            <w:pPr>
              <w:spacing w:before="120" w:after="0"/>
              <w:jc w:val="both"/>
              <w:rPr>
                <w:rFonts w:ascii="Times New Roman" w:eastAsia="Times New Roman" w:hAnsi="Times New Roman" w:cs="Times New Roman"/>
                <w:color w:val="000000"/>
                <w:sz w:val="24"/>
                <w:szCs w:val="24"/>
              </w:rPr>
            </w:pPr>
            <w:bookmarkStart w:id="6" w:name="_3dy6vkm" w:colFirst="0" w:colLast="0"/>
            <w:bookmarkEnd w:id="6"/>
            <w:r>
              <w:rPr>
                <w:rFonts w:ascii="Times New Roman" w:eastAsia="Times New Roman" w:hAnsi="Times New Roman" w:cs="Times New Roman"/>
                <w:color w:val="000000"/>
                <w:sz w:val="24"/>
                <w:szCs w:val="24"/>
              </w:rPr>
              <w:t>1.7.</w:t>
            </w:r>
            <w:r w:rsidR="00AE241A">
              <w:rPr>
                <w:rFonts w:ascii="Times New Roman" w:eastAsia="Times New Roman" w:hAnsi="Times New Roman" w:cs="Times New Roman"/>
                <w:color w:val="000000"/>
                <w:sz w:val="24"/>
                <w:szCs w:val="24"/>
              </w:rPr>
              <w:t xml:space="preserve"> tegevused ei hõlma selliseid toiminguid, mis olid osa tegevusest, mille suhtes kohaldati ümberpaigutamist vastavalt artiklile 66 (üleviimine), st sama või sarnase tegevuse või selle osa üle viimist ühest Euroopa Majanduspiirkonna (EMP) lepingu osalisriigi ettevõttest (algne ettevõte) teise EMP lepingu muus osalisriigis asuvasse ettevõttesse, kuhu toetatav investeering tehakse (toetatav ettevõte). Ümberpaigutamine toimub siis, kui toode või teenus täidab nii algses kui ka toetatavas ettevõttes vähemalt osaliselt sama otstarvet ja vastab sama liiki tarbija nõudmistele või vajadustele ja </w:t>
            </w:r>
            <w:proofErr w:type="spellStart"/>
            <w:r w:rsidR="00AE241A">
              <w:rPr>
                <w:rFonts w:ascii="Times New Roman" w:eastAsia="Times New Roman" w:hAnsi="Times New Roman" w:cs="Times New Roman"/>
                <w:color w:val="000000"/>
                <w:sz w:val="24"/>
                <w:szCs w:val="24"/>
              </w:rPr>
              <w:t>EMPs</w:t>
            </w:r>
            <w:proofErr w:type="spellEnd"/>
            <w:r w:rsidR="00AE241A">
              <w:rPr>
                <w:rFonts w:ascii="Times New Roman" w:eastAsia="Times New Roman" w:hAnsi="Times New Roman" w:cs="Times New Roman"/>
                <w:color w:val="000000"/>
                <w:sz w:val="24"/>
                <w:szCs w:val="24"/>
              </w:rPr>
              <w:t xml:space="preserve"> asuva abisaaja ühes ettevõttes lähevad samas või sarnases tegevusalas kaduma töökohad;</w:t>
            </w:r>
          </w:p>
          <w:p w14:paraId="52958DED" w14:textId="7C288C4D" w:rsidR="002B7C76" w:rsidRDefault="00696CB2" w:rsidP="00DB23AB">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1.8. </w:t>
            </w:r>
            <w:r w:rsidR="00AE241A">
              <w:rPr>
                <w:rFonts w:ascii="Times New Roman" w:eastAsia="Times New Roman" w:hAnsi="Times New Roman" w:cs="Times New Roman"/>
                <w:color w:val="000000"/>
                <w:sz w:val="24"/>
                <w:szCs w:val="24"/>
              </w:rPr>
              <w:t xml:space="preserve"> kulude seaduslikkuse ja korrektsuse;</w:t>
            </w:r>
            <w:r>
              <w:rPr>
                <w:rFonts w:ascii="Times New Roman" w:eastAsia="Times New Roman" w:hAnsi="Times New Roman" w:cs="Times New Roman"/>
                <w:color w:val="000000"/>
                <w:sz w:val="24"/>
                <w:szCs w:val="24"/>
              </w:rPr>
              <w:t xml:space="preserve">1.9. </w:t>
            </w:r>
            <w:r w:rsidR="00AE241A">
              <w:rPr>
                <w:rFonts w:ascii="Times New Roman" w:eastAsia="Times New Roman" w:hAnsi="Times New Roman" w:cs="Times New Roman"/>
                <w:color w:val="000000"/>
                <w:sz w:val="24"/>
                <w:szCs w:val="24"/>
              </w:rPr>
              <w:t>valitud tegevusi otseselt ei mõjuta Euroopa Liidu toimimise lepingu artikli 258 kohane komisjoni põhjendatud arvamus rikkumise kohta, mis seab ohtu kulude seaduslikkuse ja korrektsuse või tegevuste tulemuslikkuse;</w:t>
            </w:r>
          </w:p>
          <w:p w14:paraId="4E729390" w14:textId="6F07DC43" w:rsidR="002B7C76" w:rsidRDefault="00696CB2" w:rsidP="00DB23AB">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1.10. </w:t>
            </w:r>
            <w:r w:rsidR="00AE241A">
              <w:rPr>
                <w:rFonts w:ascii="Times New Roman" w:eastAsia="Times New Roman" w:hAnsi="Times New Roman" w:cs="Times New Roman"/>
                <w:color w:val="000000"/>
                <w:sz w:val="24"/>
                <w:szCs w:val="24"/>
              </w:rPr>
              <w:t>selliste taristuinvesteeringute kliimakindluse</w:t>
            </w:r>
            <w:r w:rsidR="00AE241A">
              <w:rPr>
                <w:rFonts w:ascii="Times New Roman" w:eastAsia="Times New Roman" w:hAnsi="Times New Roman" w:cs="Times New Roman"/>
                <w:color w:val="000000"/>
                <w:sz w:val="24"/>
                <w:szCs w:val="24"/>
                <w:vertAlign w:val="superscript"/>
              </w:rPr>
              <w:footnoteReference w:id="4"/>
            </w:r>
            <w:r w:rsidR="00AE241A">
              <w:rPr>
                <w:rFonts w:ascii="Times New Roman" w:eastAsia="Times New Roman" w:hAnsi="Times New Roman" w:cs="Times New Roman"/>
                <w:color w:val="000000"/>
                <w:sz w:val="24"/>
                <w:szCs w:val="24"/>
              </w:rPr>
              <w:t xml:space="preserve">, mille eeldatav kestvus on vähemalt viis aastat. </w:t>
            </w:r>
          </w:p>
          <w:p w14:paraId="1C93ECAE" w14:textId="3516E512" w:rsidR="002B7C76" w:rsidRDefault="00AE241A" w:rsidP="00BB6AE7">
            <w:pPr>
              <w:pBdr>
                <w:top w:val="nil"/>
                <w:left w:val="nil"/>
                <w:bottom w:val="nil"/>
                <w:right w:val="nil"/>
                <w:between w:val="nil"/>
              </w:pBdr>
              <w:ind w:left="836"/>
              <w:jc w:val="both"/>
              <w:rPr>
                <w:color w:val="000000"/>
                <w:sz w:val="20"/>
                <w:szCs w:val="20"/>
              </w:rPr>
            </w:pPr>
            <w:r>
              <w:rPr>
                <w:rFonts w:ascii="Times New Roman" w:eastAsia="Times New Roman" w:hAnsi="Times New Roman" w:cs="Times New Roman"/>
                <w:color w:val="000000"/>
                <w:sz w:val="24"/>
                <w:szCs w:val="24"/>
              </w:rPr>
              <w:t>Kliimaalasel hindamisel tuleb lähtuda Euroopa Komisjoni teatisest 2021/C 373/01 „Taristu kliimakindluse tagamise tehnilised suunised</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aastateks 2021-2027“</w:t>
            </w:r>
            <w:r w:rsidR="007743E0">
              <w:rPr>
                <w:rStyle w:val="Allmrkuseviide"/>
                <w:rFonts w:ascii="Times New Roman" w:eastAsia="Times New Roman" w:hAnsi="Times New Roman" w:cs="Times New Roman"/>
                <w:color w:val="000000"/>
                <w:sz w:val="24"/>
                <w:szCs w:val="24"/>
              </w:rPr>
              <w:footnoteReference w:id="6"/>
            </w:r>
            <w:r>
              <w:rPr>
                <w:rFonts w:ascii="Times New Roman" w:eastAsia="Times New Roman" w:hAnsi="Times New Roman" w:cs="Times New Roman"/>
                <w:color w:val="000000"/>
                <w:sz w:val="24"/>
                <w:szCs w:val="24"/>
              </w:rPr>
              <w:t xml:space="preserve"> ning asjakohasel juhul täiendavatest juhistest kliimakindluse tagamise protsessi läbiviimiseks</w:t>
            </w:r>
            <w:r>
              <w:rPr>
                <w:color w:val="000000"/>
                <w:sz w:val="20"/>
                <w:szCs w:val="20"/>
              </w:rPr>
              <w:t>;</w:t>
            </w:r>
          </w:p>
          <w:p w14:paraId="71EBA23B" w14:textId="047B52D1" w:rsidR="002B7C76" w:rsidRDefault="00696CB2" w:rsidP="00DB23AB">
            <w:pP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w:t>
            </w:r>
            <w:r w:rsidR="00AE241A">
              <w:rPr>
                <w:rFonts w:ascii="Times New Roman" w:eastAsia="Times New Roman" w:hAnsi="Times New Roman" w:cs="Times New Roman"/>
                <w:color w:val="000000"/>
                <w:sz w:val="24"/>
                <w:szCs w:val="24"/>
              </w:rPr>
              <w:t>valikukriteeri</w:t>
            </w:r>
            <w:r w:rsidR="005B3ABC">
              <w:rPr>
                <w:rFonts w:ascii="Times New Roman" w:eastAsia="Times New Roman" w:hAnsi="Times New Roman" w:cs="Times New Roman"/>
                <w:color w:val="000000"/>
                <w:sz w:val="24"/>
                <w:szCs w:val="24"/>
              </w:rPr>
              <w:t>u</w:t>
            </w:r>
            <w:r w:rsidR="00AE241A">
              <w:rPr>
                <w:rFonts w:ascii="Times New Roman" w:eastAsia="Times New Roman" w:hAnsi="Times New Roman" w:cs="Times New Roman"/>
                <w:color w:val="000000"/>
                <w:sz w:val="24"/>
                <w:szCs w:val="24"/>
              </w:rPr>
              <w:t xml:space="preserve">mid on mittediskrimineerivad ja läbipaistvad ning tagavad, et valitud tegevused arvestavad  </w:t>
            </w:r>
            <w:r w:rsidR="00AE241A">
              <w:rPr>
                <w:rFonts w:ascii="Times New Roman" w:eastAsia="Times New Roman" w:hAnsi="Times New Roman" w:cs="Times New Roman"/>
                <w:sz w:val="24"/>
                <w:szCs w:val="24"/>
              </w:rPr>
              <w:t xml:space="preserve">määruse nr 2021/1060 </w:t>
            </w:r>
            <w:r w:rsidR="00AE241A">
              <w:rPr>
                <w:rFonts w:ascii="Times New Roman" w:eastAsia="Times New Roman" w:hAnsi="Times New Roman" w:cs="Times New Roman"/>
                <w:color w:val="000000"/>
                <w:sz w:val="24"/>
                <w:szCs w:val="24"/>
              </w:rPr>
              <w:t>artiklis 9 sätestatud horisontaalseid põhimõtteid, millega:</w:t>
            </w:r>
          </w:p>
          <w:p w14:paraId="77BB9529" w14:textId="4149088F" w:rsidR="002B7C76" w:rsidRPr="001A5A38" w:rsidRDefault="00696CB2" w:rsidP="00DB23A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1.11.1. </w:t>
            </w:r>
            <w:r w:rsidR="00AE241A">
              <w:rPr>
                <w:rFonts w:ascii="Times New Roman" w:eastAsia="Times New Roman" w:hAnsi="Times New Roman" w:cs="Times New Roman"/>
                <w:sz w:val="24"/>
                <w:szCs w:val="24"/>
              </w:rPr>
              <w:t xml:space="preserve">võetakse arvesse </w:t>
            </w:r>
            <w:hyperlink r:id="rId9">
              <w:r w:rsidR="00AE241A">
                <w:rPr>
                  <w:rFonts w:ascii="Times New Roman" w:eastAsia="Times New Roman" w:hAnsi="Times New Roman" w:cs="Times New Roman"/>
                  <w:color w:val="0563C1"/>
                  <w:sz w:val="24"/>
                  <w:szCs w:val="24"/>
                  <w:u w:val="single"/>
                </w:rPr>
                <w:t>Euroopa Liidu põhiõiguste hartat</w:t>
              </w:r>
            </w:hyperlink>
            <w:r w:rsidR="00AE241A">
              <w:rPr>
                <w:rFonts w:ascii="Times New Roman" w:eastAsia="Times New Roman" w:hAnsi="Times New Roman" w:cs="Times New Roman"/>
                <w:sz w:val="24"/>
                <w:szCs w:val="24"/>
                <w:vertAlign w:val="superscript"/>
              </w:rPr>
              <w:footnoteReference w:id="7"/>
            </w:r>
            <w:r w:rsidR="00AE241A">
              <w:rPr>
                <w:rFonts w:ascii="Times New Roman" w:eastAsia="Times New Roman" w:hAnsi="Times New Roman" w:cs="Times New Roman"/>
                <w:sz w:val="24"/>
                <w:szCs w:val="24"/>
              </w:rPr>
              <w:t>;</w:t>
            </w:r>
          </w:p>
          <w:p w14:paraId="3C63189D" w14:textId="28533AE4" w:rsidR="00E00B18" w:rsidRDefault="00696CB2" w:rsidP="00DB23A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1.11.2. </w:t>
            </w:r>
            <w:r w:rsidR="00E00B18">
              <w:rPr>
                <w:rFonts w:ascii="Times New Roman" w:eastAsia="Times New Roman" w:hAnsi="Times New Roman" w:cs="Times New Roman"/>
                <w:sz w:val="24"/>
                <w:szCs w:val="24"/>
              </w:rPr>
              <w:t xml:space="preserve">võetakse arvesse </w:t>
            </w:r>
            <w:r w:rsidR="00E00B18" w:rsidRPr="00322735">
              <w:rPr>
                <w:rFonts w:ascii="Times New Roman" w:eastAsia="Times New Roman" w:hAnsi="Times New Roman" w:cs="Times New Roman"/>
                <w:sz w:val="24"/>
                <w:szCs w:val="24"/>
              </w:rPr>
              <w:t xml:space="preserve">Puuetega inimeste </w:t>
            </w:r>
            <w:r w:rsidR="00076C6C" w:rsidRPr="00322735">
              <w:rPr>
                <w:rFonts w:ascii="Times New Roman" w:eastAsia="Times New Roman" w:hAnsi="Times New Roman" w:cs="Times New Roman"/>
                <w:sz w:val="24"/>
                <w:szCs w:val="24"/>
              </w:rPr>
              <w:t xml:space="preserve">õiguste </w:t>
            </w:r>
            <w:r w:rsidR="00E00B18" w:rsidRPr="00322735">
              <w:rPr>
                <w:rFonts w:ascii="Times New Roman" w:eastAsia="Times New Roman" w:hAnsi="Times New Roman" w:cs="Times New Roman"/>
                <w:sz w:val="24"/>
                <w:szCs w:val="24"/>
              </w:rPr>
              <w:t>konventsiooni nõudeid</w:t>
            </w:r>
            <w:r w:rsidR="00E00B18">
              <w:rPr>
                <w:rFonts w:ascii="Times New Roman" w:eastAsia="Times New Roman" w:hAnsi="Times New Roman" w:cs="Times New Roman"/>
                <w:sz w:val="24"/>
                <w:szCs w:val="24"/>
              </w:rPr>
              <w:t>;</w:t>
            </w:r>
          </w:p>
          <w:p w14:paraId="72563D1A" w14:textId="3EE090CB" w:rsidR="002B7C76" w:rsidRDefault="00696CB2" w:rsidP="00DB23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1.11.3. </w:t>
            </w:r>
            <w:r w:rsidR="00AE241A">
              <w:rPr>
                <w:rFonts w:ascii="Times New Roman" w:eastAsia="Times New Roman" w:hAnsi="Times New Roman" w:cs="Times New Roman"/>
                <w:sz w:val="24"/>
                <w:szCs w:val="24"/>
              </w:rPr>
              <w:t>võetakse arvesse ja edendatakse soolist võrdõiguslikkust, soolise aspekti arvestamist ning sooküsimuste lõimimist;</w:t>
            </w:r>
          </w:p>
          <w:p w14:paraId="71730E58" w14:textId="146CDFC1" w:rsidR="002B7C76" w:rsidRDefault="00696CB2" w:rsidP="00DB23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1.11.4. </w:t>
            </w:r>
            <w:r w:rsidR="00AE241A">
              <w:rPr>
                <w:rFonts w:ascii="Times New Roman" w:eastAsia="Times New Roman" w:hAnsi="Times New Roman" w:cs="Times New Roman"/>
                <w:sz w:val="24"/>
                <w:szCs w:val="24"/>
              </w:rPr>
              <w:t>tagatakse diskrimineerimise vältimine ja ligipääsetavus;</w:t>
            </w:r>
          </w:p>
          <w:p w14:paraId="65FA4891" w14:textId="006A6D6A" w:rsidR="002B7C76" w:rsidRDefault="00696CB2" w:rsidP="00DB23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1.11.5. </w:t>
            </w:r>
            <w:r w:rsidR="00AE241A">
              <w:rPr>
                <w:rFonts w:ascii="Times New Roman" w:eastAsia="Times New Roman" w:hAnsi="Times New Roman" w:cs="Times New Roman"/>
                <w:sz w:val="24"/>
                <w:szCs w:val="24"/>
              </w:rPr>
              <w:t>toetatakse kestliku arengu edendamise eesmärke</w:t>
            </w:r>
            <w:r w:rsidR="00AE241A">
              <w:rPr>
                <w:rFonts w:ascii="Times New Roman" w:eastAsia="Times New Roman" w:hAnsi="Times New Roman" w:cs="Times New Roman"/>
                <w:sz w:val="24"/>
                <w:szCs w:val="24"/>
                <w:vertAlign w:val="superscript"/>
              </w:rPr>
              <w:footnoteReference w:id="8"/>
            </w:r>
            <w:r w:rsidR="00AE241A">
              <w:rPr>
                <w:rFonts w:ascii="Times New Roman" w:eastAsia="Times New Roman" w:hAnsi="Times New Roman" w:cs="Times New Roman"/>
                <w:sz w:val="24"/>
                <w:szCs w:val="24"/>
              </w:rPr>
              <w:t>;</w:t>
            </w:r>
          </w:p>
          <w:p w14:paraId="4DBED398" w14:textId="598EE6DB" w:rsidR="002B7C76" w:rsidRDefault="00696CB2" w:rsidP="00DB23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1.11.6. </w:t>
            </w:r>
            <w:r w:rsidR="00AE241A">
              <w:rPr>
                <w:rFonts w:ascii="Times New Roman" w:eastAsia="Times New Roman" w:hAnsi="Times New Roman" w:cs="Times New Roman"/>
                <w:sz w:val="24"/>
                <w:szCs w:val="24"/>
              </w:rPr>
              <w:t xml:space="preserve">tagatakse vastavus Euroopa Liidu keskkonnaalastele õigusaktidele; </w:t>
            </w:r>
          </w:p>
          <w:p w14:paraId="2CC83DCB" w14:textId="61A5A52F" w:rsidR="002B7C76" w:rsidRDefault="00696CB2" w:rsidP="00DB23A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1.11.7. </w:t>
            </w:r>
            <w:r w:rsidR="00AE241A">
              <w:rPr>
                <w:rFonts w:ascii="Times New Roman" w:eastAsia="Times New Roman" w:hAnsi="Times New Roman" w:cs="Times New Roman"/>
                <w:sz w:val="24"/>
                <w:szCs w:val="24"/>
              </w:rPr>
              <w:t>rakendatakse põhimõtet „ei kahjusta oluliselt“ (</w:t>
            </w:r>
            <w:proofErr w:type="spellStart"/>
            <w:r w:rsidR="00AE241A">
              <w:rPr>
                <w:rFonts w:ascii="Times New Roman" w:eastAsia="Times New Roman" w:hAnsi="Times New Roman" w:cs="Times New Roman"/>
                <w:sz w:val="24"/>
                <w:szCs w:val="24"/>
              </w:rPr>
              <w:t>ing</w:t>
            </w:r>
            <w:proofErr w:type="spellEnd"/>
            <w:r w:rsidR="00AE241A">
              <w:rPr>
                <w:rFonts w:ascii="Times New Roman" w:eastAsia="Times New Roman" w:hAnsi="Times New Roman" w:cs="Times New Roman"/>
                <w:sz w:val="24"/>
                <w:szCs w:val="24"/>
              </w:rPr>
              <w:t xml:space="preserve">. k. </w:t>
            </w:r>
            <w:r w:rsidR="00AE241A">
              <w:rPr>
                <w:rFonts w:ascii="Times New Roman" w:eastAsia="Times New Roman" w:hAnsi="Times New Roman" w:cs="Times New Roman"/>
                <w:i/>
                <w:sz w:val="24"/>
                <w:szCs w:val="24"/>
              </w:rPr>
              <w:t xml:space="preserve">DNSH – „Do no </w:t>
            </w:r>
            <w:proofErr w:type="spellStart"/>
            <w:r w:rsidR="00AE241A">
              <w:rPr>
                <w:rFonts w:ascii="Times New Roman" w:eastAsia="Times New Roman" w:hAnsi="Times New Roman" w:cs="Times New Roman"/>
                <w:i/>
                <w:sz w:val="24"/>
                <w:szCs w:val="24"/>
              </w:rPr>
              <w:t>significant</w:t>
            </w:r>
            <w:proofErr w:type="spellEnd"/>
            <w:r w:rsidR="00AE241A">
              <w:rPr>
                <w:rFonts w:ascii="Times New Roman" w:eastAsia="Times New Roman" w:hAnsi="Times New Roman" w:cs="Times New Roman"/>
                <w:i/>
                <w:sz w:val="24"/>
                <w:szCs w:val="24"/>
              </w:rPr>
              <w:t xml:space="preserve"> </w:t>
            </w:r>
            <w:proofErr w:type="spellStart"/>
            <w:r w:rsidR="00AE241A">
              <w:rPr>
                <w:rFonts w:ascii="Times New Roman" w:eastAsia="Times New Roman" w:hAnsi="Times New Roman" w:cs="Times New Roman"/>
                <w:i/>
                <w:sz w:val="24"/>
                <w:szCs w:val="24"/>
              </w:rPr>
              <w:t>harm</w:t>
            </w:r>
            <w:proofErr w:type="spellEnd"/>
            <w:r w:rsidR="00AE241A">
              <w:rPr>
                <w:rFonts w:ascii="Times New Roman" w:eastAsia="Times New Roman" w:hAnsi="Times New Roman" w:cs="Times New Roman"/>
                <w:i/>
                <w:sz w:val="24"/>
                <w:szCs w:val="24"/>
              </w:rPr>
              <w:t>“</w:t>
            </w:r>
            <w:r w:rsidR="00AE241A">
              <w:rPr>
                <w:rFonts w:ascii="Times New Roman" w:eastAsia="Times New Roman" w:hAnsi="Times New Roman" w:cs="Times New Roman"/>
                <w:sz w:val="24"/>
                <w:szCs w:val="24"/>
              </w:rPr>
              <w:t>).</w:t>
            </w:r>
          </w:p>
          <w:p w14:paraId="22935F60" w14:textId="77777777" w:rsidR="00322735" w:rsidRDefault="00322735" w:rsidP="00BB6AE7">
            <w:pPr>
              <w:spacing w:after="0"/>
              <w:jc w:val="both"/>
              <w:rPr>
                <w:rFonts w:ascii="Times New Roman" w:eastAsia="Times New Roman" w:hAnsi="Times New Roman" w:cs="Times New Roman"/>
                <w:color w:val="000000"/>
                <w:sz w:val="24"/>
                <w:szCs w:val="24"/>
              </w:rPr>
            </w:pPr>
          </w:p>
          <w:p w14:paraId="18F76AD7" w14:textId="23377BC1" w:rsidR="002B7C76" w:rsidRDefault="00AE241A" w:rsidP="00BB6AE7">
            <w:pPr>
              <w:spacing w:after="0"/>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Rakendusasutus kehtestab asjakohased vastavus- ja valikukriteeriumid, võttes arvesse keskkonnariske ning nende leevendusmeetmeid</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Kui on tuvastatud, et meetmel puudub või on ebaoluline prognoositav mõju keskkonnaeesmärkidele, siis taotleja täiendavalt „ei kahjusta</w:t>
            </w:r>
            <w:r w:rsidR="003728FD">
              <w:rPr>
                <w:rFonts w:ascii="Times New Roman" w:eastAsia="Times New Roman" w:hAnsi="Times New Roman" w:cs="Times New Roman"/>
                <w:color w:val="000000"/>
                <w:sz w:val="24"/>
                <w:szCs w:val="24"/>
              </w:rPr>
              <w:t xml:space="preserve"> oluliselt“</w:t>
            </w:r>
            <w:r>
              <w:rPr>
                <w:rFonts w:ascii="Times New Roman" w:eastAsia="Times New Roman" w:hAnsi="Times New Roman" w:cs="Times New Roman"/>
                <w:color w:val="000000"/>
                <w:sz w:val="24"/>
                <w:szCs w:val="24"/>
              </w:rPr>
              <w:t xml:space="preserve"> põhimõtte hindamist läbi viima ei pea. Asjakohasel juhul võib rakendusasutus nõuda taotlejalt täiendavat „ei kahjusta oluliselt“ põhimõtte hindamist, kui see osutub vajalikuks lähtuvalt meetme tegevusest. Kui hinnatud meetmel on tuvastatud prognoositavad keskkonnariskid ja vajadus on rakendada leevendusmeetmeid, siis rakendusasutus kehtestab </w:t>
            </w:r>
            <w:r w:rsidR="00041127" w:rsidRPr="003728FD">
              <w:rPr>
                <w:rFonts w:ascii="Times New Roman" w:eastAsia="Times New Roman" w:hAnsi="Times New Roman" w:cs="Times New Roman"/>
                <w:color w:val="000000"/>
                <w:sz w:val="24"/>
                <w:szCs w:val="24"/>
              </w:rPr>
              <w:t>asjakohasel juhul</w:t>
            </w:r>
            <w:r w:rsidR="000411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nõude projekti taotlejale viia läbi täiendav „ei kahjusta oluliselt“ põhimõtte </w:t>
            </w:r>
            <w:r>
              <w:rPr>
                <w:rFonts w:ascii="Times New Roman" w:eastAsia="Times New Roman" w:hAnsi="Times New Roman" w:cs="Times New Roman"/>
                <w:color w:val="000000"/>
                <w:sz w:val="24"/>
                <w:szCs w:val="24"/>
              </w:rPr>
              <w:lastRenderedPageBreak/>
              <w:t xml:space="preserve">vastavuse hindamine.  Hindamise järeldused peavad olema taotleja poolt dokumenteeritud ning võimaldama vajadusel üle kontrollimist. </w:t>
            </w:r>
            <w:r>
              <w:rPr>
                <w:rFonts w:ascii="Times New Roman" w:eastAsia="Times New Roman" w:hAnsi="Times New Roman" w:cs="Times New Roman"/>
                <w:color w:val="000000"/>
                <w:sz w:val="24"/>
                <w:szCs w:val="24"/>
                <w:vertAlign w:val="superscript"/>
              </w:rPr>
              <w:t xml:space="preserve"> </w:t>
            </w:r>
          </w:p>
          <w:p w14:paraId="5AC9DFE8" w14:textId="55A4EFDE" w:rsidR="007743E0" w:rsidRDefault="007743E0" w:rsidP="00BB6AE7">
            <w:pPr>
              <w:spacing w:after="0"/>
              <w:jc w:val="both"/>
              <w:rPr>
                <w:rFonts w:ascii="Times New Roman" w:eastAsia="Times New Roman" w:hAnsi="Times New Roman" w:cs="Times New Roman"/>
                <w:color w:val="000000"/>
                <w:sz w:val="24"/>
                <w:szCs w:val="24"/>
                <w:vertAlign w:val="superscript"/>
              </w:rPr>
            </w:pPr>
          </w:p>
          <w:p w14:paraId="6C797266" w14:textId="77777777" w:rsidR="002B7C76" w:rsidRDefault="007743E0" w:rsidP="00BB6AE7">
            <w:pPr>
              <w:spacing w:before="120" w:after="0"/>
              <w:jc w:val="both"/>
              <w:rPr>
                <w:rFonts w:ascii="Times New Roman" w:hAnsi="Times New Roman"/>
                <w:sz w:val="24"/>
                <w:szCs w:val="24"/>
              </w:rPr>
            </w:pPr>
            <w:r>
              <w:rPr>
                <w:rFonts w:ascii="Times New Roman" w:eastAsia="Times New Roman" w:hAnsi="Times New Roman"/>
                <w:color w:val="000000"/>
                <w:sz w:val="24"/>
                <w:szCs w:val="24"/>
              </w:rPr>
              <w:t>„Ei kahjusta oluliselt“ põhimõtte hindamisel tuleb lähtuda Euroopa Komisjoni teatisest  2021/C 58/01 „</w:t>
            </w:r>
            <w:r w:rsidRPr="007743E0">
              <w:rPr>
                <w:rFonts w:ascii="Times New Roman" w:eastAsia="Times New Roman" w:hAnsi="Times New Roman"/>
                <w:color w:val="000000"/>
                <w:sz w:val="24"/>
                <w:szCs w:val="24"/>
              </w:rPr>
              <w:t>Tehnilised suunised põhimõtte „ei kahjusta oluliselt“ kohaldamise kohta taaste- ja vastupidavusrahastu puhul</w:t>
            </w:r>
            <w:r>
              <w:rPr>
                <w:rFonts w:ascii="Times New Roman" w:eastAsia="Times New Roman" w:hAnsi="Times New Roman"/>
                <w:color w:val="000000"/>
                <w:sz w:val="24"/>
                <w:szCs w:val="24"/>
              </w:rPr>
              <w:t xml:space="preserve">“ ning </w:t>
            </w:r>
            <w:r>
              <w:rPr>
                <w:rFonts w:ascii="Times New Roman" w:hAnsi="Times New Roman"/>
                <w:sz w:val="24"/>
                <w:szCs w:val="24"/>
              </w:rPr>
              <w:t xml:space="preserve">asjakohasel juhul täiendavatest juhistest hindamise protsessi läbiviimiseks. </w:t>
            </w:r>
            <w:r>
              <w:rPr>
                <w:rStyle w:val="Allmrkuseviide"/>
                <w:rFonts w:ascii="Times New Roman" w:eastAsia="Times New Roman" w:hAnsi="Times New Roman"/>
                <w:color w:val="000000"/>
                <w:sz w:val="24"/>
                <w:szCs w:val="24"/>
              </w:rPr>
              <w:footnoteReference w:id="10"/>
            </w:r>
          </w:p>
          <w:p w14:paraId="02E8701E" w14:textId="38428F1F" w:rsidR="004F2325" w:rsidRDefault="004F2325" w:rsidP="00BB6AE7">
            <w:pPr>
              <w:spacing w:before="120" w:after="0"/>
              <w:jc w:val="both"/>
              <w:rPr>
                <w:rFonts w:ascii="Times New Roman" w:eastAsia="Times New Roman" w:hAnsi="Times New Roman" w:cs="Times New Roman"/>
                <w:color w:val="000000"/>
                <w:sz w:val="24"/>
                <w:szCs w:val="24"/>
              </w:rPr>
            </w:pPr>
          </w:p>
        </w:tc>
      </w:tr>
    </w:tbl>
    <w:p w14:paraId="7229E0B5" w14:textId="77777777" w:rsidR="002B7C76" w:rsidRDefault="00AE241A" w:rsidP="00BB6AE7">
      <w:pPr>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Valikukriteeriumide seosed rakenduskavaga</w:t>
      </w:r>
    </w:p>
    <w:p w14:paraId="4B9E838D" w14:textId="77777777" w:rsidR="002B7C76" w:rsidRDefault="00AE241A" w:rsidP="00BB6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Rakenduskava jaguneb poliitikaeesmärkideks, mille all on määratletud erieesmärgid ning tulemus- ja väljundnäitajad koos sihttasemetega. Rakenduskava kinnitatakse Euroopa Komisjoni otsusega. </w:t>
      </w:r>
    </w:p>
    <w:p w14:paraId="1B29A58C" w14:textId="77777777" w:rsidR="002B7C76" w:rsidRDefault="00AE241A" w:rsidP="00BB6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Rakenduskava poliitikaeesmärgid viiakse ellu läbi täpsemalt suunatud meetmete, projektide valikukriteeriumide alusel. </w:t>
      </w:r>
    </w:p>
    <w:p w14:paraId="27C09FDD" w14:textId="49C4CF99" w:rsidR="002B7C76" w:rsidRDefault="00AE241A" w:rsidP="00BB6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Meetmete nimekirjas tuuakse välja rakenduskava rahastamiskava täpsem jaotus – poliitikaeesmärk, prioriteet, erieesmärk</w:t>
      </w:r>
      <w:r w:rsidRPr="00322735">
        <w:rPr>
          <w:rFonts w:ascii="Times New Roman" w:eastAsia="Times New Roman" w:hAnsi="Times New Roman" w:cs="Times New Roman"/>
          <w:sz w:val="24"/>
          <w:szCs w:val="24"/>
        </w:rPr>
        <w:t>, meede</w:t>
      </w:r>
      <w:r w:rsidR="002F3F71" w:rsidRPr="00322735">
        <w:rPr>
          <w:rStyle w:val="Allmrkuseviide"/>
          <w:rFonts w:ascii="Times New Roman" w:eastAsia="Times New Roman" w:hAnsi="Times New Roman" w:cs="Times New Roman"/>
          <w:sz w:val="24"/>
          <w:szCs w:val="24"/>
        </w:rPr>
        <w:footnoteReference w:id="11"/>
      </w:r>
      <w:r w:rsidRPr="003227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fond, rahastatavad tegevused, fondi toetuse, riikliku kaasfinantseeringu ja omafinantseeringu summad ja osakaalud, vastutavad asutused ning tulemus- ja väljundnäitajad. Meetmete nimekirja kinnitab Vabariigi Valitsus istungil korraldusega. </w:t>
      </w:r>
    </w:p>
    <w:p w14:paraId="23C19703" w14:textId="45E30294" w:rsidR="002B7C76" w:rsidRDefault="00696CB2" w:rsidP="00BB6AE7">
      <w:pPr>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Läbivad</w:t>
      </w:r>
      <w:r w:rsidR="009E6B5C">
        <w:rPr>
          <w:rFonts w:ascii="Times New Roman" w:eastAsia="Times New Roman" w:hAnsi="Times New Roman" w:cs="Times New Roman"/>
          <w:b/>
          <w:sz w:val="24"/>
          <w:szCs w:val="24"/>
        </w:rPr>
        <w:t xml:space="preserve"> </w:t>
      </w:r>
      <w:r w:rsidR="00AE241A">
        <w:rPr>
          <w:rFonts w:ascii="Times New Roman" w:eastAsia="Times New Roman" w:hAnsi="Times New Roman" w:cs="Times New Roman"/>
          <w:b/>
          <w:sz w:val="24"/>
          <w:szCs w:val="24"/>
        </w:rPr>
        <w:t>projektide valikukriteeriumid</w:t>
      </w:r>
    </w:p>
    <w:p w14:paraId="54CB0AA2" w14:textId="72FCC883" w:rsidR="002B7C76" w:rsidRDefault="00AE241A" w:rsidP="00BB6AE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Tulenevalt punktis 1 toodud ÜSM nõuetest on alljärgnevalt esitatud </w:t>
      </w:r>
      <w:r w:rsidR="00696CB2">
        <w:rPr>
          <w:rFonts w:ascii="Times New Roman" w:eastAsia="Times New Roman" w:hAnsi="Times New Roman" w:cs="Times New Roman"/>
          <w:sz w:val="24"/>
          <w:szCs w:val="24"/>
        </w:rPr>
        <w:t>läbivad</w:t>
      </w:r>
      <w:r>
        <w:rPr>
          <w:rFonts w:ascii="Times New Roman" w:eastAsia="Times New Roman" w:hAnsi="Times New Roman" w:cs="Times New Roman"/>
          <w:sz w:val="24"/>
          <w:szCs w:val="24"/>
        </w:rPr>
        <w:t xml:space="preserve"> projektivaliku kriteeriumid, mida on kohustus kasutada kõikide projektide, sh investeeringute kava ja territoriaalsete strateegiate alusel rakendatavate projektide, rahastamisvahendite, toetuse andmise tingimuste käskkirja ja lepingu alusel elluviidavate tegevuste valikul.  </w:t>
      </w:r>
    </w:p>
    <w:p w14:paraId="0C63B9B4" w14:textId="77777777" w:rsidR="002B7C76" w:rsidRDefault="002B7C76" w:rsidP="00BB6AE7">
      <w:pPr>
        <w:spacing w:after="0"/>
        <w:jc w:val="both"/>
        <w:rPr>
          <w:rFonts w:ascii="Times New Roman" w:eastAsia="Times New Roman" w:hAnsi="Times New Roman" w:cs="Times New Roman"/>
          <w:sz w:val="24"/>
          <w:szCs w:val="24"/>
        </w:rPr>
      </w:pPr>
    </w:p>
    <w:p w14:paraId="68D7E17D" w14:textId="77777777" w:rsidR="002B7C76" w:rsidRDefault="00AE241A" w:rsidP="00BB6AE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Projektide valikukriteeriume rakendamise eelduseks on, et projekt on punktis 1 toodud nõuete alusel vastavaks tunnistatud. Määruse alusel investeeringute kava ja territoriaalsete strateegiate puhul võib olla esmalt projektide valimine antud kriteeriumide alusel ja seejärel vastavuskriteeriumide rakendamine.  </w:t>
      </w:r>
    </w:p>
    <w:p w14:paraId="3CF273F8" w14:textId="77777777" w:rsidR="002B7C76" w:rsidRDefault="002B7C76" w:rsidP="00BB6AE7">
      <w:pPr>
        <w:spacing w:after="0"/>
        <w:jc w:val="both"/>
        <w:rPr>
          <w:rFonts w:ascii="Times New Roman" w:eastAsia="Times New Roman" w:hAnsi="Times New Roman" w:cs="Times New Roman"/>
          <w:sz w:val="24"/>
          <w:szCs w:val="24"/>
        </w:rPr>
      </w:pPr>
    </w:p>
    <w:p w14:paraId="3C57B8BA" w14:textId="77777777" w:rsidR="002B7C76" w:rsidRDefault="00AE241A" w:rsidP="00BB6AE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Kui investeeringud on ministeeriumi valitsemisala hallata ja toetus määratakse ilma avalikku taotlemist korraldamata, tuleb rakendusasutusel hinnata ja/või anda hinnang rahastamiseks valitud objektide vastavusele üldistele valikukriteeriumidele ning põhjendada nende kooskõla toetuse andmise tingimuste käskkirja seletuskirjas.</w:t>
      </w:r>
    </w:p>
    <w:p w14:paraId="0C5683ED" w14:textId="77777777" w:rsidR="002B7C76" w:rsidRDefault="002B7C76" w:rsidP="00BB6AE7">
      <w:pPr>
        <w:spacing w:after="0"/>
        <w:jc w:val="both"/>
        <w:rPr>
          <w:rFonts w:ascii="Times New Roman" w:eastAsia="Times New Roman" w:hAnsi="Times New Roman" w:cs="Times New Roman"/>
          <w:sz w:val="24"/>
          <w:szCs w:val="24"/>
        </w:rPr>
      </w:pPr>
    </w:p>
    <w:p w14:paraId="78F0E9CD" w14:textId="787C5E7E" w:rsidR="00322735" w:rsidRDefault="00AE24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Kui projektid on punkti  1 kohaselt vastavaks tunnistatud, siis hinnatakse projekte prioriseerimise eesmärgil järgmiste kriteeriumide lõikes täiendavalt.</w:t>
      </w:r>
    </w:p>
    <w:p w14:paraId="5641FA6A" w14:textId="77777777" w:rsidR="00BB6AE7" w:rsidRDefault="00BB6AE7" w:rsidP="00BB6AE7">
      <w:pPr>
        <w:spacing w:after="0"/>
        <w:jc w:val="both"/>
        <w:rPr>
          <w:rFonts w:ascii="Times New Roman" w:eastAsia="Times New Roman" w:hAnsi="Times New Roman" w:cs="Times New Roman"/>
          <w:sz w:val="24"/>
          <w:szCs w:val="24"/>
        </w:rPr>
      </w:pPr>
    </w:p>
    <w:p w14:paraId="6FFBC8FE" w14:textId="0721A018" w:rsidR="002B7C76" w:rsidRPr="00322735" w:rsidRDefault="00AE241A">
      <w:pPr>
        <w:numPr>
          <w:ilvl w:val="1"/>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22735">
        <w:rPr>
          <w:rFonts w:ascii="Times New Roman" w:eastAsia="Times New Roman" w:hAnsi="Times New Roman" w:cs="Times New Roman"/>
          <w:b/>
          <w:color w:val="000000"/>
          <w:sz w:val="24"/>
          <w:szCs w:val="24"/>
        </w:rPr>
        <w:t xml:space="preserve">Projekti </w:t>
      </w:r>
      <w:r w:rsidR="00B379E1" w:rsidRPr="00322735">
        <w:rPr>
          <w:rFonts w:ascii="Times New Roman" w:eastAsia="Times New Roman" w:hAnsi="Times New Roman" w:cs="Times New Roman"/>
          <w:b/>
          <w:color w:val="000000"/>
          <w:sz w:val="24"/>
          <w:szCs w:val="24"/>
        </w:rPr>
        <w:t xml:space="preserve">kooskõla valdkondlike arengukavadega, </w:t>
      </w:r>
      <w:r w:rsidRPr="00322735">
        <w:rPr>
          <w:rFonts w:ascii="Times New Roman" w:eastAsia="Times New Roman" w:hAnsi="Times New Roman" w:cs="Times New Roman"/>
          <w:b/>
          <w:color w:val="000000"/>
          <w:sz w:val="24"/>
          <w:szCs w:val="24"/>
        </w:rPr>
        <w:t xml:space="preserve">mõju </w:t>
      </w:r>
      <w:r w:rsidR="00B379E1" w:rsidRPr="00322735">
        <w:rPr>
          <w:rFonts w:ascii="Times New Roman" w:eastAsia="Times New Roman" w:hAnsi="Times New Roman" w:cs="Times New Roman"/>
          <w:b/>
          <w:color w:val="000000"/>
          <w:sz w:val="24"/>
          <w:szCs w:val="24"/>
        </w:rPr>
        <w:t xml:space="preserve">rakenduskava erieesmärgi ja </w:t>
      </w:r>
      <w:r w:rsidRPr="00322735">
        <w:rPr>
          <w:rFonts w:ascii="Times New Roman" w:eastAsia="Times New Roman" w:hAnsi="Times New Roman" w:cs="Times New Roman"/>
          <w:b/>
          <w:color w:val="000000"/>
          <w:sz w:val="24"/>
          <w:szCs w:val="24"/>
        </w:rPr>
        <w:t>meetme eesmärkide saavutamisele</w:t>
      </w:r>
    </w:p>
    <w:p w14:paraId="295AB63B" w14:textId="77777777" w:rsidR="002B7C76" w:rsidRPr="00322735" w:rsidRDefault="002B7C7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80DB5F3" w14:textId="77777777" w:rsidR="002B7C76" w:rsidRDefault="00AE241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Selle kriteeriumi raames hinnatakse:</w:t>
      </w:r>
    </w:p>
    <w:p w14:paraId="6109EDD0" w14:textId="77777777" w:rsidR="002B7C76" w:rsidRPr="00A4454B" w:rsidRDefault="002B7C7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4F529CA" w14:textId="11259668" w:rsidR="002B7C76" w:rsidRPr="00322735" w:rsidRDefault="00AE241A" w:rsidP="00322735">
      <w:pPr>
        <w:numPr>
          <w:ilvl w:val="2"/>
          <w:numId w:val="3"/>
        </w:numPr>
        <w:pBdr>
          <w:top w:val="nil"/>
          <w:left w:val="nil"/>
          <w:bottom w:val="nil"/>
          <w:right w:val="nil"/>
          <w:between w:val="nil"/>
        </w:pBdr>
        <w:spacing w:after="0"/>
        <w:ind w:left="1276" w:hanging="556"/>
        <w:jc w:val="both"/>
        <w:rPr>
          <w:rFonts w:ascii="Times New Roman" w:hAnsi="Times New Roman" w:cs="Times New Roman"/>
          <w:sz w:val="24"/>
          <w:szCs w:val="24"/>
        </w:rPr>
      </w:pPr>
      <w:r w:rsidRPr="00A4454B">
        <w:rPr>
          <w:rFonts w:ascii="Times New Roman" w:eastAsia="Times New Roman" w:hAnsi="Times New Roman" w:cs="Times New Roman"/>
          <w:color w:val="000000"/>
          <w:sz w:val="24"/>
          <w:szCs w:val="24"/>
        </w:rPr>
        <w:t xml:space="preserve">projekti </w:t>
      </w:r>
      <w:r w:rsidR="00652082" w:rsidRPr="00322735">
        <w:rPr>
          <w:rFonts w:ascii="Times New Roman" w:eastAsia="Times New Roman" w:hAnsi="Times New Roman" w:cs="Times New Roman"/>
          <w:sz w:val="24"/>
          <w:szCs w:val="24"/>
        </w:rPr>
        <w:t>kooskõla valdkondliku arengukavaga</w:t>
      </w:r>
      <w:r w:rsidR="00B379E1" w:rsidRPr="00322735">
        <w:rPr>
          <w:rFonts w:ascii="Times New Roman" w:eastAsia="Times New Roman" w:hAnsi="Times New Roman" w:cs="Times New Roman"/>
          <w:sz w:val="24"/>
          <w:szCs w:val="24"/>
        </w:rPr>
        <w:t xml:space="preserve"> ja panus</w:t>
      </w:r>
      <w:r w:rsidR="00EC6CA0" w:rsidRPr="00322735">
        <w:rPr>
          <w:rFonts w:ascii="Times New Roman" w:eastAsia="Times New Roman" w:hAnsi="Times New Roman" w:cs="Times New Roman"/>
          <w:sz w:val="24"/>
          <w:szCs w:val="24"/>
        </w:rPr>
        <w:t xml:space="preserve"> rakenduskava erieesmä</w:t>
      </w:r>
      <w:r w:rsidR="00B379E1" w:rsidRPr="00322735">
        <w:rPr>
          <w:rFonts w:ascii="Times New Roman" w:eastAsia="Times New Roman" w:hAnsi="Times New Roman" w:cs="Times New Roman"/>
          <w:sz w:val="24"/>
          <w:szCs w:val="24"/>
        </w:rPr>
        <w:t>rki</w:t>
      </w:r>
      <w:r w:rsidR="00652082" w:rsidRPr="00322735">
        <w:rPr>
          <w:rFonts w:ascii="Times New Roman" w:eastAsia="Times New Roman" w:hAnsi="Times New Roman" w:cs="Times New Roman"/>
          <w:sz w:val="24"/>
          <w:szCs w:val="24"/>
        </w:rPr>
        <w:t xml:space="preserve"> </w:t>
      </w:r>
      <w:r w:rsidR="00B379E1" w:rsidRPr="00322735">
        <w:rPr>
          <w:rFonts w:ascii="Times New Roman" w:eastAsia="Times New Roman" w:hAnsi="Times New Roman" w:cs="Times New Roman"/>
          <w:sz w:val="24"/>
          <w:szCs w:val="24"/>
        </w:rPr>
        <w:t xml:space="preserve">ning </w:t>
      </w:r>
      <w:r w:rsidRPr="00322735">
        <w:rPr>
          <w:rFonts w:ascii="Times New Roman" w:eastAsia="Times New Roman" w:hAnsi="Times New Roman" w:cs="Times New Roman"/>
          <w:sz w:val="24"/>
          <w:szCs w:val="24"/>
        </w:rPr>
        <w:t xml:space="preserve">meetme </w:t>
      </w:r>
      <w:r w:rsidRPr="00322735">
        <w:rPr>
          <w:rFonts w:ascii="Times New Roman" w:eastAsia="Times New Roman" w:hAnsi="Times New Roman" w:cs="Times New Roman"/>
          <w:color w:val="000000"/>
          <w:sz w:val="24"/>
          <w:szCs w:val="24"/>
        </w:rPr>
        <w:t>eesmärkidesse, sh projekti tulemuste ja mõju eeldatavat ulatust ning vajadusel väljundite ja tulemuste kestlikkust pärast projekti lõppu;</w:t>
      </w:r>
    </w:p>
    <w:p w14:paraId="5C51136E" w14:textId="048FDBA8" w:rsidR="002B7C76" w:rsidRPr="00322735" w:rsidRDefault="00AE241A" w:rsidP="00322735">
      <w:pPr>
        <w:numPr>
          <w:ilvl w:val="2"/>
          <w:numId w:val="3"/>
        </w:numPr>
        <w:pBdr>
          <w:top w:val="nil"/>
          <w:left w:val="nil"/>
          <w:bottom w:val="nil"/>
          <w:right w:val="nil"/>
          <w:between w:val="nil"/>
        </w:pBdr>
        <w:spacing w:after="0"/>
        <w:ind w:left="1276" w:hanging="556"/>
        <w:jc w:val="both"/>
        <w:rPr>
          <w:rFonts w:ascii="Times New Roman" w:hAnsi="Times New Roman" w:cs="Times New Roman"/>
          <w:sz w:val="24"/>
          <w:szCs w:val="24"/>
        </w:rPr>
      </w:pPr>
      <w:r w:rsidRPr="00322735">
        <w:rPr>
          <w:rFonts w:ascii="Times New Roman" w:eastAsia="Times New Roman" w:hAnsi="Times New Roman" w:cs="Times New Roman"/>
          <w:color w:val="000000"/>
          <w:sz w:val="24"/>
          <w:szCs w:val="24"/>
        </w:rPr>
        <w:t xml:space="preserve">projekti panust meetme väljund- ja tulemusnäitaja(te) saavutamisse. </w:t>
      </w:r>
    </w:p>
    <w:p w14:paraId="1DEA6F22" w14:textId="6D2EB9CB" w:rsidR="005D63CA" w:rsidRPr="00322735" w:rsidRDefault="005D63CA" w:rsidP="00322735">
      <w:pPr>
        <w:numPr>
          <w:ilvl w:val="2"/>
          <w:numId w:val="3"/>
        </w:numPr>
        <w:pBdr>
          <w:top w:val="nil"/>
          <w:left w:val="nil"/>
          <w:bottom w:val="nil"/>
          <w:right w:val="nil"/>
          <w:between w:val="nil"/>
        </w:pBdr>
        <w:spacing w:after="0"/>
        <w:ind w:left="1276" w:hanging="556"/>
        <w:jc w:val="both"/>
        <w:rPr>
          <w:rFonts w:ascii="Times New Roman" w:hAnsi="Times New Roman" w:cs="Times New Roman"/>
          <w:sz w:val="24"/>
          <w:szCs w:val="24"/>
        </w:rPr>
      </w:pPr>
      <w:r w:rsidRPr="00322735">
        <w:rPr>
          <w:rFonts w:ascii="Times New Roman" w:hAnsi="Times New Roman" w:cs="Times New Roman"/>
          <w:sz w:val="24"/>
          <w:szCs w:val="24"/>
        </w:rPr>
        <w:t xml:space="preserve">rakenduskavas nimetatud juhtudel võetakse arvesse Uue Euroopa </w:t>
      </w:r>
      <w:proofErr w:type="spellStart"/>
      <w:r w:rsidRPr="00322735">
        <w:rPr>
          <w:rFonts w:ascii="Times New Roman" w:hAnsi="Times New Roman" w:cs="Times New Roman"/>
          <w:sz w:val="24"/>
          <w:szCs w:val="24"/>
        </w:rPr>
        <w:t>Bauhausi</w:t>
      </w:r>
      <w:proofErr w:type="spellEnd"/>
      <w:r w:rsidRPr="00322735">
        <w:rPr>
          <w:rFonts w:ascii="Times New Roman" w:hAnsi="Times New Roman" w:cs="Times New Roman"/>
          <w:sz w:val="24"/>
          <w:szCs w:val="24"/>
        </w:rPr>
        <w:t xml:space="preserve"> väärtusi.</w:t>
      </w:r>
    </w:p>
    <w:p w14:paraId="2D635621" w14:textId="77777777" w:rsidR="002B7C76" w:rsidRDefault="002B7C7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EBEA6E" w14:textId="77777777" w:rsidR="002B7C76" w:rsidRDefault="00AE241A">
      <w:pPr>
        <w:numPr>
          <w:ilvl w:val="1"/>
          <w:numId w:val="3"/>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Projekti põhjendatus</w:t>
      </w:r>
    </w:p>
    <w:p w14:paraId="338D71E0" w14:textId="77777777" w:rsidR="002B7C76" w:rsidRDefault="002B7C76">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54567823" w14:textId="77777777" w:rsidR="002B7C76" w:rsidRDefault="00AE241A">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Selle kriteeriumi raames hinnatakse, kas:</w:t>
      </w:r>
    </w:p>
    <w:p w14:paraId="144BC7C9" w14:textId="77777777" w:rsidR="002B7C76" w:rsidRDefault="002B7C76">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3A3C212B" w14:textId="77777777" w:rsidR="002B7C76" w:rsidRDefault="00AE241A" w:rsidP="00322735">
      <w:pPr>
        <w:numPr>
          <w:ilvl w:val="2"/>
          <w:numId w:val="3"/>
        </w:numPr>
        <w:pBdr>
          <w:top w:val="nil"/>
          <w:left w:val="nil"/>
          <w:bottom w:val="nil"/>
          <w:right w:val="nil"/>
          <w:between w:val="nil"/>
        </w:pBdr>
        <w:spacing w:after="0"/>
        <w:ind w:left="1276" w:hanging="556"/>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projekti eesmärgipüstitus on põhjendatud – on olemas probleem, kitsaskoht või kasutamata arenguvõimalus; </w:t>
      </w:r>
    </w:p>
    <w:p w14:paraId="2FD13C79" w14:textId="77777777" w:rsidR="002B7C76" w:rsidRDefault="00AE241A" w:rsidP="00322735">
      <w:pPr>
        <w:numPr>
          <w:ilvl w:val="2"/>
          <w:numId w:val="3"/>
        </w:numPr>
        <w:pBdr>
          <w:top w:val="nil"/>
          <w:left w:val="nil"/>
          <w:bottom w:val="nil"/>
          <w:right w:val="nil"/>
          <w:between w:val="nil"/>
        </w:pBdr>
        <w:spacing w:after="0"/>
        <w:ind w:left="1276" w:hanging="556"/>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projekti sekkumisloogika on arusaadav, mõjus – projektis ettenähtud tegevused võimaldavad saavutada projekti eesmärgid ning planeeritud väljundid ja tulemused parimal moel. Nende sidusus eesmärkidega ning mõjusus on arusaadavad, võimalusel innovaatilisi lahendusi soosivad;</w:t>
      </w:r>
    </w:p>
    <w:p w14:paraId="0909BD3C" w14:textId="77777777" w:rsidR="002B7C76" w:rsidRDefault="00AE241A" w:rsidP="00322735">
      <w:pPr>
        <w:numPr>
          <w:ilvl w:val="2"/>
          <w:numId w:val="3"/>
        </w:numPr>
        <w:pBdr>
          <w:top w:val="nil"/>
          <w:left w:val="nil"/>
          <w:bottom w:val="nil"/>
          <w:right w:val="nil"/>
          <w:between w:val="nil"/>
        </w:pBdr>
        <w:ind w:left="1276" w:hanging="556"/>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tegevuste ajakava on realistlik, arvestades mh tegevuste omavahelisi seoseid ja ajalist järgnevust.</w:t>
      </w:r>
    </w:p>
    <w:p w14:paraId="55AD6104" w14:textId="77777777" w:rsidR="002B7C76" w:rsidRDefault="00AE241A">
      <w:pPr>
        <w:numPr>
          <w:ilvl w:val="1"/>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Projekti kuluefektiivsus</w:t>
      </w:r>
    </w:p>
    <w:p w14:paraId="776FB576" w14:textId="77777777" w:rsidR="002B7C76" w:rsidRDefault="00AE241A">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Selle kriteeriumi puhul hinnatakse, kas:</w:t>
      </w:r>
    </w:p>
    <w:p w14:paraId="139155FF" w14:textId="77777777" w:rsidR="002B7C76" w:rsidRDefault="00AE241A" w:rsidP="00322735">
      <w:pPr>
        <w:numPr>
          <w:ilvl w:val="2"/>
          <w:numId w:val="3"/>
        </w:numPr>
        <w:spacing w:after="0"/>
        <w:ind w:left="1276" w:hanging="5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ettenähtud tegevused/lahendused on kuluefektiivne viis planeeritud väljundite/tulemuste saavutamiseks;</w:t>
      </w:r>
    </w:p>
    <w:p w14:paraId="1457D0B6" w14:textId="6C3C8614" w:rsidR="00980C33" w:rsidRDefault="00AE241A" w:rsidP="00322735">
      <w:pPr>
        <w:numPr>
          <w:ilvl w:val="2"/>
          <w:numId w:val="3"/>
        </w:numPr>
        <w:spacing w:after="0"/>
        <w:ind w:left="1276" w:hanging="5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planeeritud eelarve on realistlik ja mõistlik -  on selge, milliste arvutuste ja hinnangute alusel on eelarve kokku pandud ning planeeritud kulud on vajalikud ja mõistlikud, ning on olemas taotleja võimekus projektile järgnevate püsikulude rahastamiseks.</w:t>
      </w:r>
    </w:p>
    <w:p w14:paraId="68F08EAC" w14:textId="3135B713" w:rsidR="00322735" w:rsidRDefault="00322735" w:rsidP="00322735">
      <w:pPr>
        <w:spacing w:after="0"/>
        <w:ind w:left="1276"/>
        <w:jc w:val="both"/>
        <w:rPr>
          <w:rFonts w:ascii="Times New Roman" w:eastAsia="Times New Roman" w:hAnsi="Times New Roman" w:cs="Times New Roman"/>
          <w:sz w:val="24"/>
          <w:szCs w:val="24"/>
        </w:rPr>
      </w:pPr>
    </w:p>
    <w:p w14:paraId="74BD299E" w14:textId="17F28AD0" w:rsidR="00E44CAC" w:rsidRDefault="00E44CAC" w:rsidP="00322735">
      <w:pPr>
        <w:spacing w:after="0"/>
        <w:ind w:left="1276"/>
        <w:jc w:val="both"/>
        <w:rPr>
          <w:rFonts w:ascii="Times New Roman" w:eastAsia="Times New Roman" w:hAnsi="Times New Roman" w:cs="Times New Roman"/>
          <w:sz w:val="24"/>
          <w:szCs w:val="24"/>
        </w:rPr>
      </w:pPr>
    </w:p>
    <w:p w14:paraId="227BC2EE" w14:textId="77777777" w:rsidR="002B7C76" w:rsidRDefault="00AE241A">
      <w:pPr>
        <w:numPr>
          <w:ilvl w:val="1"/>
          <w:numId w:val="3"/>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Toetuse taotleja suutlikkus projekti ellu viia</w:t>
      </w:r>
    </w:p>
    <w:p w14:paraId="00F1DF49" w14:textId="774EBC54" w:rsidR="002B7C76" w:rsidRDefault="00AE241A" w:rsidP="00BB6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Antud kriteerium on vastavuskriteerium ja võib olla lisaks valikukriteerium, mille rakendamisel kontrollitakse, kas taotlejal (ja partneritel kokku) on kvalifikatsioon, kogemus, õiguslik, organisatsioonilised või tehnilised eeldused projekti elluviimiseks kavandatud viisil </w:t>
      </w:r>
      <w:r w:rsidR="00980C33">
        <w:rPr>
          <w:rFonts w:ascii="Times New Roman" w:eastAsia="Times New Roman" w:hAnsi="Times New Roman" w:cs="Times New Roman"/>
          <w:sz w:val="24"/>
          <w:szCs w:val="24"/>
        </w:rPr>
        <w:t xml:space="preserve">tagades </w:t>
      </w:r>
      <w:r w:rsidR="00980C33" w:rsidRPr="00322735">
        <w:rPr>
          <w:rFonts w:ascii="Times New Roman" w:eastAsia="Times New Roman" w:hAnsi="Times New Roman" w:cs="Times New Roman"/>
          <w:sz w:val="24"/>
          <w:szCs w:val="24"/>
        </w:rPr>
        <w:lastRenderedPageBreak/>
        <w:t>kestlikkuse</w:t>
      </w:r>
      <w:r w:rsidR="00980C33" w:rsidRPr="00A114F1">
        <w:rPr>
          <w:rFonts w:ascii="Times New Roman" w:eastAsia="Times New Roman" w:hAnsi="Times New Roman" w:cs="Times New Roman"/>
          <w:b/>
          <w:bCs/>
          <w:sz w:val="24"/>
          <w:szCs w:val="24"/>
        </w:rPr>
        <w:t xml:space="preserve"> </w:t>
      </w:r>
      <w:r w:rsidR="00980C33" w:rsidRPr="00A114F1">
        <w:rPr>
          <w:rFonts w:ascii="Times New Roman" w:eastAsia="Times New Roman" w:hAnsi="Times New Roman" w:cs="Times New Roman"/>
          <w:sz w:val="24"/>
          <w:szCs w:val="24"/>
        </w:rPr>
        <w:t>ja</w:t>
      </w:r>
      <w:r w:rsidR="005505CD" w:rsidRPr="00A114F1">
        <w:rPr>
          <w:rFonts w:ascii="Times New Roman" w:eastAsia="Times New Roman" w:hAnsi="Times New Roman" w:cs="Times New Roman"/>
          <w:sz w:val="24"/>
          <w:szCs w:val="24"/>
        </w:rPr>
        <w:t xml:space="preserve"> </w:t>
      </w:r>
      <w:r w:rsidRPr="00A114F1">
        <w:rPr>
          <w:rFonts w:ascii="Times New Roman" w:eastAsia="Times New Roman" w:hAnsi="Times New Roman" w:cs="Times New Roman"/>
          <w:sz w:val="24"/>
          <w:szCs w:val="24"/>
        </w:rPr>
        <w:t>jätkusuutlikkuse (sh taristuinvesteeringute või tootlike investeeringute puhul edasis</w:t>
      </w:r>
      <w:r w:rsidR="00980C33" w:rsidRPr="00A114F1">
        <w:rPr>
          <w:rFonts w:ascii="Times New Roman" w:eastAsia="Times New Roman" w:hAnsi="Times New Roman" w:cs="Times New Roman"/>
          <w:sz w:val="24"/>
          <w:szCs w:val="24"/>
        </w:rPr>
        <w:t>ed</w:t>
      </w:r>
      <w:r w:rsidRPr="00A114F1">
        <w:rPr>
          <w:rFonts w:ascii="Times New Roman" w:eastAsia="Times New Roman" w:hAnsi="Times New Roman" w:cs="Times New Roman"/>
          <w:sz w:val="24"/>
          <w:szCs w:val="24"/>
        </w:rPr>
        <w:t xml:space="preserve"> tegevus- ja hoolduskulud).</w:t>
      </w:r>
      <w:r>
        <w:rPr>
          <w:rFonts w:ascii="Times New Roman" w:eastAsia="Times New Roman" w:hAnsi="Times New Roman" w:cs="Times New Roman"/>
          <w:sz w:val="24"/>
          <w:szCs w:val="24"/>
        </w:rPr>
        <w:t xml:space="preserve"> </w:t>
      </w:r>
    </w:p>
    <w:p w14:paraId="5A0F972F" w14:textId="77777777" w:rsidR="002B7C76" w:rsidRDefault="00AE241A" w:rsidP="00BB6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Toetuse andmise tingimuste (edaspidi TAT) käskkirjas või halduslepingus nimetatud tegevuste elluviija valik peab olema kooskõlas „Perioodi 2021–2027 Euroopa Liidu ühtekuuluvus- ja siseturvalisuspoliitika fondide rakendamise seadusega“, riigihangete seadusega ja halduskoostöö seadusega, ning riigiabi reeglitega. Kõigile neile vastavust tuleb TAT käskkirja seletuskirjas selgitada. </w:t>
      </w:r>
    </w:p>
    <w:p w14:paraId="2327D199" w14:textId="77777777" w:rsidR="002B7C76" w:rsidRDefault="00AE241A" w:rsidP="00BB6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Kui TAT käskkirja elluviija vahendab toetust lõppsaajatele, siis rakendusasutus (</w:t>
      </w:r>
      <w:r>
        <w:rPr>
          <w:rFonts w:ascii="Times New Roman" w:eastAsia="Times New Roman" w:hAnsi="Times New Roman" w:cs="Times New Roman"/>
          <w:i/>
          <w:sz w:val="24"/>
          <w:szCs w:val="24"/>
        </w:rPr>
        <w:t xml:space="preserve">RA annab rolli </w:t>
      </w:r>
      <w:proofErr w:type="spellStart"/>
      <w:r>
        <w:rPr>
          <w:rFonts w:ascii="Times New Roman" w:eastAsia="Times New Roman" w:hAnsi="Times New Roman" w:cs="Times New Roman"/>
          <w:i/>
          <w:sz w:val="24"/>
          <w:szCs w:val="24"/>
        </w:rPr>
        <w:t>RÜle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TATis</w:t>
      </w:r>
      <w:proofErr w:type="spellEnd"/>
      <w:r>
        <w:rPr>
          <w:rFonts w:ascii="Times New Roman" w:eastAsia="Times New Roman" w:hAnsi="Times New Roman" w:cs="Times New Roman"/>
          <w:sz w:val="24"/>
          <w:szCs w:val="24"/>
        </w:rPr>
        <w:t>) peab olema veendunud, et elluviija tööprotseduurid (</w:t>
      </w:r>
      <w:r>
        <w:rPr>
          <w:rFonts w:ascii="Times New Roman" w:eastAsia="Times New Roman" w:hAnsi="Times New Roman" w:cs="Times New Roman"/>
          <w:i/>
          <w:sz w:val="24"/>
          <w:szCs w:val="24"/>
        </w:rPr>
        <w:t>sisemine reeglistik</w:t>
      </w:r>
      <w:r>
        <w:rPr>
          <w:rFonts w:ascii="Times New Roman" w:eastAsia="Times New Roman" w:hAnsi="Times New Roman" w:cs="Times New Roman"/>
          <w:sz w:val="24"/>
          <w:szCs w:val="24"/>
        </w:rPr>
        <w:t xml:space="preserve">) tagavad </w:t>
      </w:r>
      <w:proofErr w:type="spellStart"/>
      <w:r>
        <w:rPr>
          <w:rFonts w:ascii="Times New Roman" w:eastAsia="Times New Roman" w:hAnsi="Times New Roman" w:cs="Times New Roman"/>
          <w:sz w:val="24"/>
          <w:szCs w:val="24"/>
        </w:rPr>
        <w:t>TATi</w:t>
      </w:r>
      <w:proofErr w:type="spellEnd"/>
      <w:r>
        <w:rPr>
          <w:rFonts w:ascii="Times New Roman" w:eastAsia="Times New Roman" w:hAnsi="Times New Roman" w:cs="Times New Roman"/>
          <w:sz w:val="24"/>
          <w:szCs w:val="24"/>
        </w:rPr>
        <w:t xml:space="preserve"> elluviimise läbipaistval ja kontrollitaval viisil (</w:t>
      </w:r>
      <w:r>
        <w:rPr>
          <w:rFonts w:ascii="Times New Roman" w:eastAsia="Times New Roman" w:hAnsi="Times New Roman" w:cs="Times New Roman"/>
          <w:i/>
          <w:sz w:val="24"/>
          <w:szCs w:val="24"/>
        </w:rPr>
        <w:t>nõuded sihtgrupile</w:t>
      </w:r>
      <w:r>
        <w:rPr>
          <w:rFonts w:ascii="Times New Roman" w:eastAsia="Times New Roman" w:hAnsi="Times New Roman" w:cs="Times New Roman"/>
          <w:sz w:val="24"/>
          <w:szCs w:val="24"/>
        </w:rPr>
        <w:t xml:space="preserve">). </w:t>
      </w:r>
    </w:p>
    <w:p w14:paraId="49A0B29F" w14:textId="77777777" w:rsidR="002B7C76" w:rsidRDefault="002B7C76">
      <w:pPr>
        <w:spacing w:after="0" w:line="240" w:lineRule="auto"/>
        <w:jc w:val="both"/>
        <w:rPr>
          <w:rFonts w:ascii="Times New Roman" w:eastAsia="Times New Roman" w:hAnsi="Times New Roman" w:cs="Times New Roman"/>
          <w:sz w:val="24"/>
          <w:szCs w:val="24"/>
        </w:rPr>
      </w:pPr>
    </w:p>
    <w:p w14:paraId="34F16803" w14:textId="1A399F35" w:rsidR="002B7C76" w:rsidRDefault="00AE241A">
      <w:pPr>
        <w:numPr>
          <w:ilvl w:val="1"/>
          <w:numId w:val="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Projekti kooskõla Eesti pikaajalise arengustrateegia aluspõhimõtete ja sihtidega</w:t>
      </w:r>
      <w:r w:rsidR="00652082">
        <w:rPr>
          <w:rFonts w:ascii="Times New Roman" w:eastAsia="Times New Roman" w:hAnsi="Times New Roman" w:cs="Times New Roman"/>
          <w:b/>
          <w:color w:val="000000"/>
          <w:sz w:val="24"/>
          <w:szCs w:val="24"/>
        </w:rPr>
        <w:t xml:space="preserve"> </w:t>
      </w:r>
    </w:p>
    <w:p w14:paraId="2C30044C" w14:textId="77777777" w:rsidR="002B7C76" w:rsidRDefault="002B7C76">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9219CD8" w14:textId="77777777" w:rsidR="002B7C76" w:rsidRDefault="00AE241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Antud kriteeriumi kasutamine on kohustuslik  kui toetuse andmise tingimuste koostamisel teostatud analüüsis on tuvastanud rahastatavate tegevuste, riigi pikaajalise arengustrateegia aluspõhimõtete ja sihtide ning ÜSM artiklis 9 nimetatud horisontaalsete põhimõtete, sh regionaalarengu, vahel seos ning vajadus ja võimalus negatiivseid mõjusid vähendada või positiivseid mõjusid võimendada luues seeläbi vahetute tulemuste kõrval täiendavat lisandväärtust ja aidates vähendada ühiskondlike lõhesid.</w:t>
      </w:r>
    </w:p>
    <w:p w14:paraId="298ADE04" w14:textId="5ECA2A04" w:rsidR="002B7C76" w:rsidRDefault="00AE24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Kriteeriumiga hinnatakse, kuidas lisaks projekti vahetutele eesmärkidele võetakse arvesse ja aidatakse kaasa Eesti pikaajalise arengustrateegia aluspõhimõtete ja sihtidega seotud horisontaalsete põhimõtete (sooline võrdõiguslikkus, võrdsed võimalused, ligipääsetavus, kestlik areng, keskkonnakaitse ja </w:t>
      </w:r>
      <w:proofErr w:type="spellStart"/>
      <w:r>
        <w:rPr>
          <w:rFonts w:ascii="Times New Roman" w:eastAsia="Times New Roman" w:hAnsi="Times New Roman" w:cs="Times New Roman"/>
          <w:sz w:val="24"/>
          <w:szCs w:val="24"/>
        </w:rPr>
        <w:t>kliimaneutraalus</w:t>
      </w:r>
      <w:proofErr w:type="spellEnd"/>
      <w:r>
        <w:rPr>
          <w:rFonts w:ascii="Times New Roman" w:eastAsia="Times New Roman" w:hAnsi="Times New Roman" w:cs="Times New Roman"/>
          <w:sz w:val="24"/>
          <w:szCs w:val="24"/>
        </w:rPr>
        <w:t xml:space="preserve"> ning täiendavalt  regionaalareng) eesmärkide saavutamisele ja panustatakse seeläbi vastavasse strateegia riigi pikaajalise arengustrateegia näitajasse.</w:t>
      </w:r>
    </w:p>
    <w:p w14:paraId="0CBABA8A" w14:textId="49CD2236" w:rsidR="00255594" w:rsidRDefault="00255594">
      <w:pPr>
        <w:jc w:val="both"/>
        <w:rPr>
          <w:rFonts w:ascii="Times New Roman" w:eastAsia="Times New Roman" w:hAnsi="Times New Roman" w:cs="Times New Roman"/>
          <w:sz w:val="24"/>
          <w:szCs w:val="24"/>
        </w:rPr>
      </w:pPr>
    </w:p>
    <w:p w14:paraId="5DA6593E" w14:textId="51BA8161" w:rsidR="00255594" w:rsidRDefault="00255594">
      <w:pPr>
        <w:jc w:val="both"/>
        <w:rPr>
          <w:rFonts w:ascii="Times New Roman" w:eastAsia="Times New Roman" w:hAnsi="Times New Roman" w:cs="Times New Roman"/>
          <w:sz w:val="24"/>
          <w:szCs w:val="24"/>
        </w:rPr>
      </w:pPr>
    </w:p>
    <w:p w14:paraId="7B02489E" w14:textId="21A8C232" w:rsidR="00255594" w:rsidRDefault="00255594">
      <w:pPr>
        <w:jc w:val="both"/>
        <w:rPr>
          <w:rFonts w:ascii="Times New Roman" w:eastAsia="Times New Roman" w:hAnsi="Times New Roman" w:cs="Times New Roman"/>
          <w:sz w:val="24"/>
          <w:szCs w:val="24"/>
        </w:rPr>
      </w:pPr>
    </w:p>
    <w:p w14:paraId="622EC81C" w14:textId="30E6D2D7" w:rsidR="00255594" w:rsidRDefault="00255594">
      <w:pPr>
        <w:jc w:val="both"/>
        <w:rPr>
          <w:rFonts w:ascii="Times New Roman" w:eastAsia="Times New Roman" w:hAnsi="Times New Roman" w:cs="Times New Roman"/>
          <w:sz w:val="24"/>
          <w:szCs w:val="24"/>
        </w:rPr>
      </w:pPr>
    </w:p>
    <w:p w14:paraId="22334B3D" w14:textId="77777777" w:rsidR="009E6B5C" w:rsidRDefault="009E6B5C">
      <w:pPr>
        <w:jc w:val="both"/>
        <w:rPr>
          <w:rFonts w:ascii="Times New Roman" w:eastAsia="Times New Roman" w:hAnsi="Times New Roman" w:cs="Times New Roman"/>
          <w:sz w:val="24"/>
          <w:szCs w:val="24"/>
        </w:rPr>
      </w:pPr>
    </w:p>
    <w:p w14:paraId="55129317" w14:textId="44A1C2DB" w:rsidR="00255594" w:rsidRDefault="00255594">
      <w:pPr>
        <w:jc w:val="both"/>
        <w:rPr>
          <w:rFonts w:ascii="Times New Roman" w:eastAsia="Times New Roman" w:hAnsi="Times New Roman" w:cs="Times New Roman"/>
          <w:sz w:val="24"/>
          <w:szCs w:val="24"/>
        </w:rPr>
      </w:pPr>
    </w:p>
    <w:p w14:paraId="0CBD1BCF" w14:textId="2B28BE78" w:rsidR="00255594" w:rsidRDefault="00255594">
      <w:pPr>
        <w:jc w:val="both"/>
        <w:rPr>
          <w:rFonts w:ascii="Times New Roman" w:eastAsia="Times New Roman" w:hAnsi="Times New Roman" w:cs="Times New Roman"/>
          <w:sz w:val="24"/>
          <w:szCs w:val="24"/>
        </w:rPr>
      </w:pPr>
    </w:p>
    <w:p w14:paraId="551FD091" w14:textId="409135C0" w:rsidR="00DB23AB" w:rsidRDefault="00DB23AB">
      <w:pPr>
        <w:jc w:val="both"/>
        <w:rPr>
          <w:rFonts w:ascii="Times New Roman" w:eastAsia="Times New Roman" w:hAnsi="Times New Roman" w:cs="Times New Roman"/>
          <w:sz w:val="24"/>
          <w:szCs w:val="24"/>
        </w:rPr>
      </w:pPr>
    </w:p>
    <w:p w14:paraId="1DC7CFE2" w14:textId="77777777" w:rsidR="00DB23AB" w:rsidRDefault="00DB23AB">
      <w:pPr>
        <w:jc w:val="both"/>
        <w:rPr>
          <w:rFonts w:ascii="Times New Roman" w:eastAsia="Times New Roman" w:hAnsi="Times New Roman" w:cs="Times New Roman"/>
          <w:sz w:val="24"/>
          <w:szCs w:val="24"/>
        </w:rPr>
      </w:pPr>
    </w:p>
    <w:p w14:paraId="4B244C55" w14:textId="66A532F0" w:rsidR="00255594" w:rsidRPr="0040085E" w:rsidRDefault="00255594" w:rsidP="00255594">
      <w:pPr>
        <w:jc w:val="center"/>
        <w:rPr>
          <w:rFonts w:ascii="Times" w:hAnsi="Times"/>
          <w:sz w:val="24"/>
          <w:szCs w:val="24"/>
        </w:rPr>
      </w:pPr>
      <w:r w:rsidRPr="002368C1">
        <w:rPr>
          <w:rFonts w:ascii="Times" w:hAnsi="Times"/>
          <w:b/>
          <w:sz w:val="24"/>
          <w:szCs w:val="24"/>
        </w:rPr>
        <w:lastRenderedPageBreak/>
        <w:t>VALIKU</w:t>
      </w:r>
      <w:r>
        <w:rPr>
          <w:rFonts w:ascii="Times" w:hAnsi="Times"/>
          <w:b/>
          <w:sz w:val="24"/>
          <w:szCs w:val="24"/>
        </w:rPr>
        <w:t>METOODIKA</w:t>
      </w:r>
      <w:r w:rsidRPr="002368C1">
        <w:rPr>
          <w:rFonts w:ascii="Times" w:hAnsi="Times"/>
          <w:b/>
          <w:sz w:val="24"/>
          <w:szCs w:val="24"/>
        </w:rPr>
        <w:t>, MIDA KOHALDATAKSE KÕIKIDE</w:t>
      </w:r>
      <w:r>
        <w:rPr>
          <w:rFonts w:ascii="Times" w:hAnsi="Times"/>
          <w:b/>
          <w:sz w:val="24"/>
          <w:szCs w:val="24"/>
        </w:rPr>
        <w:t>LE Ü</w:t>
      </w:r>
      <w:r w:rsidR="009A08BD">
        <w:rPr>
          <w:rFonts w:ascii="Times" w:hAnsi="Times"/>
          <w:b/>
          <w:sz w:val="24"/>
          <w:szCs w:val="24"/>
        </w:rPr>
        <w:t>HT</w:t>
      </w:r>
      <w:r>
        <w:rPr>
          <w:rFonts w:ascii="Times" w:hAnsi="Times"/>
          <w:b/>
          <w:sz w:val="24"/>
          <w:szCs w:val="24"/>
        </w:rPr>
        <w:t xml:space="preserve">EKUULUVUSPOLIITIKA 2021-2027 RAKENDUSKAVA </w:t>
      </w:r>
      <w:r w:rsidRPr="002368C1">
        <w:rPr>
          <w:rFonts w:ascii="Times" w:hAnsi="Times"/>
          <w:b/>
          <w:sz w:val="24"/>
          <w:szCs w:val="24"/>
        </w:rPr>
        <w:t xml:space="preserve"> </w:t>
      </w:r>
      <w:r>
        <w:rPr>
          <w:rFonts w:ascii="Times" w:hAnsi="Times"/>
          <w:b/>
          <w:sz w:val="24"/>
          <w:szCs w:val="24"/>
        </w:rPr>
        <w:t>POLIITIKAEESMÄRKIDELE</w:t>
      </w:r>
      <w:r w:rsidRPr="002368C1">
        <w:rPr>
          <w:rFonts w:ascii="Times" w:hAnsi="Times"/>
          <w:b/>
          <w:sz w:val="24"/>
          <w:szCs w:val="24"/>
        </w:rPr>
        <w:t xml:space="preserve">  NING NENDE RAAMES TOETATAVATE</w:t>
      </w:r>
      <w:r>
        <w:rPr>
          <w:rFonts w:ascii="Times" w:hAnsi="Times"/>
          <w:b/>
          <w:sz w:val="24"/>
          <w:szCs w:val="24"/>
        </w:rPr>
        <w:t xml:space="preserve">LE </w:t>
      </w:r>
      <w:r w:rsidRPr="002368C1">
        <w:rPr>
          <w:rFonts w:ascii="Times" w:hAnsi="Times"/>
          <w:b/>
          <w:sz w:val="24"/>
          <w:szCs w:val="24"/>
        </w:rPr>
        <w:t>MEETMETE</w:t>
      </w:r>
      <w:r>
        <w:rPr>
          <w:rFonts w:ascii="Times" w:hAnsi="Times"/>
          <w:b/>
          <w:sz w:val="24"/>
          <w:szCs w:val="24"/>
        </w:rPr>
        <w:t xml:space="preserve">LE </w:t>
      </w:r>
      <w:r w:rsidRPr="0040085E">
        <w:rPr>
          <w:rFonts w:ascii="Times" w:hAnsi="Times"/>
          <w:sz w:val="24"/>
          <w:szCs w:val="24"/>
        </w:rPr>
        <w:t xml:space="preserve"> </w:t>
      </w:r>
    </w:p>
    <w:p w14:paraId="4A9141A1" w14:textId="77777777" w:rsidR="00255594" w:rsidRPr="00460872" w:rsidRDefault="00255594" w:rsidP="00255594">
      <w:pPr>
        <w:spacing w:after="0" w:line="240" w:lineRule="auto"/>
        <w:jc w:val="both"/>
        <w:rPr>
          <w:rFonts w:ascii="Cambria" w:hAnsi="Cambria"/>
          <w:sz w:val="16"/>
          <w:szCs w:val="16"/>
          <w:u w:val="single"/>
        </w:rPr>
      </w:pPr>
    </w:p>
    <w:p w14:paraId="3C4B8796" w14:textId="6B7962AB" w:rsidR="00255594" w:rsidRPr="0004554D" w:rsidRDefault="00255594" w:rsidP="00DB23AB">
      <w:pPr>
        <w:pStyle w:val="CM1"/>
        <w:jc w:val="both"/>
        <w:rPr>
          <w:rFonts w:ascii="Times New Roman" w:hAnsi="Times New Roman"/>
        </w:rPr>
      </w:pPr>
      <w:r w:rsidRPr="009E6B5C">
        <w:rPr>
          <w:rFonts w:ascii="Times New Roman" w:hAnsi="Times New Roman"/>
        </w:rPr>
        <w:t xml:space="preserve">Rakenduskava seirekomisjon kiidab Euroopa Parlamendi ja nõukogu määruse </w:t>
      </w:r>
      <w:hyperlink r:id="rId10" w:history="1">
        <w:r w:rsidRPr="009E6B5C">
          <w:rPr>
            <w:rStyle w:val="Hperlink"/>
            <w:rFonts w:ascii="Times New Roman" w:hAnsi="Times New Roman"/>
          </w:rPr>
          <w:t xml:space="preserve">(EL) nr </w:t>
        </w:r>
        <w:bookmarkStart w:id="7" w:name="_Hlk85615106"/>
        <w:r w:rsidRPr="009E6B5C">
          <w:rPr>
            <w:rStyle w:val="Hperlink"/>
            <w:rFonts w:ascii="Times New Roman" w:hAnsi="Times New Roman"/>
          </w:rPr>
          <w:t>2021/1060</w:t>
        </w:r>
      </w:hyperlink>
      <w:r w:rsidRPr="009E6B5C">
        <w:rPr>
          <w:rFonts w:ascii="Times New Roman" w:hAnsi="Times New Roman"/>
        </w:rPr>
        <w:t xml:space="preserve"> </w:t>
      </w:r>
      <w:bookmarkEnd w:id="7"/>
      <w:r w:rsidRPr="009E6B5C">
        <w:rPr>
          <w:rFonts w:ascii="Times New Roman" w:hAnsi="Times New Roman"/>
        </w:rPr>
        <w:t xml:space="preserve">artikli 40 lg 2 punkti a  kohaselt heaks </w:t>
      </w:r>
      <w:r w:rsidRPr="009E6B5C">
        <w:rPr>
          <w:rFonts w:ascii="Times New Roman" w:hAnsi="Times New Roman"/>
          <w:color w:val="000000"/>
        </w:rPr>
        <w:t xml:space="preserve">tegevuste valikukriteeriumid ja –metoodika. </w:t>
      </w:r>
      <w:r w:rsidR="00696CB2" w:rsidRPr="0004554D">
        <w:rPr>
          <w:rFonts w:ascii="Times New Roman" w:hAnsi="Times New Roman"/>
          <w:color w:val="000000"/>
        </w:rPr>
        <w:t xml:space="preserve">Toetuse andmise tingimuste õigusaktis valikukriteeriumide sätestamisel tuleb lähtuda </w:t>
      </w:r>
      <w:r w:rsidR="00696CB2" w:rsidRPr="0004554D">
        <w:rPr>
          <w:rFonts w:ascii="Times New Roman" w:hAnsi="Times New Roman"/>
        </w:rPr>
        <w:t>rakenduskava seirekomisjonis kinnitatud valikukriteeriumitest ja valikumetoodikast.</w:t>
      </w:r>
      <w:r w:rsidR="00DB23AB" w:rsidRPr="0004554D">
        <w:rPr>
          <w:rFonts w:ascii="Times New Roman" w:hAnsi="Times New Roman"/>
        </w:rPr>
        <w:t xml:space="preserve"> </w:t>
      </w:r>
      <w:r w:rsidRPr="0004554D">
        <w:rPr>
          <w:rFonts w:ascii="Times New Roman" w:hAnsi="Times New Roman"/>
        </w:rPr>
        <w:t xml:space="preserve">Valikumetoodika hõlmab valikukriteeriumide rakendamise põhimõtteid toetuse andmisel. </w:t>
      </w:r>
      <w:r w:rsidR="00EE4E07" w:rsidRPr="0004554D">
        <w:rPr>
          <w:rFonts w:ascii="Times New Roman" w:hAnsi="Times New Roman"/>
        </w:rPr>
        <w:t>Kui valikukriteeriume või valikumetoodikat on vaja muuta, siis on see võimalik üksnes seirekomisjoni otsusega</w:t>
      </w:r>
      <w:r w:rsidR="00C84F0A" w:rsidRPr="0004554D">
        <w:rPr>
          <w:rFonts w:ascii="Times New Roman" w:hAnsi="Times New Roman"/>
        </w:rPr>
        <w:t>.</w:t>
      </w:r>
    </w:p>
    <w:p w14:paraId="13EFDAF4" w14:textId="5D6486DE" w:rsidR="00255594" w:rsidRPr="0004554D" w:rsidRDefault="00255594" w:rsidP="00DB23AB">
      <w:pPr>
        <w:pStyle w:val="Default"/>
        <w:rPr>
          <w:rFonts w:ascii="Times New Roman" w:hAnsi="Times New Roman" w:cs="Times New Roman"/>
          <w:lang w:eastAsia="et-EE"/>
        </w:rPr>
      </w:pPr>
    </w:p>
    <w:p w14:paraId="0D4D6E7A" w14:textId="77777777" w:rsidR="00BC0A41" w:rsidRPr="009E6B5C" w:rsidRDefault="00BC0A41" w:rsidP="00DB23AB">
      <w:pPr>
        <w:spacing w:after="0" w:line="240" w:lineRule="auto"/>
        <w:jc w:val="both"/>
        <w:rPr>
          <w:rFonts w:ascii="Times New Roman" w:hAnsi="Times New Roman" w:cs="Times New Roman"/>
          <w:sz w:val="24"/>
          <w:szCs w:val="24"/>
        </w:rPr>
      </w:pPr>
      <w:r w:rsidRPr="0004554D">
        <w:rPr>
          <w:rFonts w:ascii="Times New Roman" w:hAnsi="Times New Roman" w:cs="Times New Roman"/>
          <w:sz w:val="24"/>
          <w:szCs w:val="24"/>
        </w:rPr>
        <w:t xml:space="preserve">Toetuse andmise tingimustes määratletakse, kas edaspidi võib tekkida </w:t>
      </w:r>
      <w:proofErr w:type="spellStart"/>
      <w:r w:rsidRPr="0004554D">
        <w:rPr>
          <w:rFonts w:ascii="Times New Roman" w:hAnsi="Times New Roman" w:cs="Times New Roman"/>
          <w:sz w:val="24"/>
          <w:szCs w:val="24"/>
        </w:rPr>
        <w:t>RÜl</w:t>
      </w:r>
      <w:proofErr w:type="spellEnd"/>
      <w:r w:rsidRPr="0004554D">
        <w:rPr>
          <w:rFonts w:ascii="Times New Roman" w:hAnsi="Times New Roman" w:cs="Times New Roman"/>
          <w:sz w:val="24"/>
          <w:szCs w:val="24"/>
        </w:rPr>
        <w:t xml:space="preserve"> vajadus valikumetoodika kohaldamise aluseid täpsustada ning kujundada detailsemad taotluste hindamiskriteeriumid. Kui valikumetoodika kohaldamise aluseid täpsustatakse ning kujundatakse detailsemad taotluste hindamiskriteeriumid, siis tuleb toetuse andmise tingimused väljatöötanud rakendusasutusel need sõltumata rakendusskeemist kooskõlastada  korraldusasutusega ja rakendusasutusega, kes nõustab oma vastutusvaldkonnas Riigikogu poolt riigi pikaajalises arengustrateegias „Eesti 2035“ kinnitatud strateegilistesse sihtidesse ja põhimõtetesse panustamist. Minimaalselt tuleb hindamiskriteeriumid kooskõlastada vähemalt ÜSM ar</w:t>
      </w:r>
      <w:r w:rsidRPr="009E6B5C">
        <w:rPr>
          <w:rFonts w:ascii="Times New Roman" w:hAnsi="Times New Roman" w:cs="Times New Roman"/>
          <w:sz w:val="24"/>
          <w:szCs w:val="24"/>
        </w:rPr>
        <w:t>tiklis 9 toodud teemades:</w:t>
      </w:r>
    </w:p>
    <w:p w14:paraId="1DE001CD" w14:textId="71FB7CB6" w:rsidR="00BC0A41" w:rsidRPr="009E6B5C" w:rsidRDefault="00BC0A41" w:rsidP="00DB23AB">
      <w:pPr>
        <w:pStyle w:val="Loendilik"/>
        <w:numPr>
          <w:ilvl w:val="0"/>
          <w:numId w:val="10"/>
        </w:numPr>
        <w:tabs>
          <w:tab w:val="left" w:pos="709"/>
        </w:tabs>
        <w:spacing w:after="0" w:line="240" w:lineRule="auto"/>
        <w:ind w:left="567" w:hanging="283"/>
        <w:contextualSpacing w:val="0"/>
        <w:jc w:val="both"/>
        <w:rPr>
          <w:rFonts w:ascii="Times New Roman" w:hAnsi="Times New Roman"/>
          <w:sz w:val="24"/>
          <w:szCs w:val="24"/>
        </w:rPr>
      </w:pPr>
      <w:r w:rsidRPr="009E6B5C">
        <w:rPr>
          <w:rFonts w:ascii="Times New Roman" w:hAnsi="Times New Roman"/>
          <w:sz w:val="24"/>
          <w:szCs w:val="24"/>
        </w:rPr>
        <w:t>sooline võrdõiguslikkus, võrdne kohtlemine ja ligipääsetavus, sh Euroopa Liidu põhiõiguste harta ja Puuetega inimeste õiguste konventsiooni nõuded;</w:t>
      </w:r>
    </w:p>
    <w:p w14:paraId="7496DDB8" w14:textId="2D5650E2" w:rsidR="00BC0A41" w:rsidRPr="009E6B5C" w:rsidRDefault="00BC0A41" w:rsidP="00DB23AB">
      <w:pPr>
        <w:pStyle w:val="Loendilik"/>
        <w:numPr>
          <w:ilvl w:val="0"/>
          <w:numId w:val="10"/>
        </w:numPr>
        <w:tabs>
          <w:tab w:val="left" w:pos="709"/>
        </w:tabs>
        <w:spacing w:after="0" w:line="240" w:lineRule="auto"/>
        <w:ind w:left="567" w:hanging="283"/>
        <w:contextualSpacing w:val="0"/>
        <w:jc w:val="both"/>
        <w:rPr>
          <w:rFonts w:ascii="Times New Roman" w:hAnsi="Times New Roman"/>
          <w:sz w:val="24"/>
          <w:szCs w:val="24"/>
          <w:lang w:eastAsia="et-EE"/>
        </w:rPr>
      </w:pPr>
      <w:r w:rsidRPr="009E6B5C">
        <w:rPr>
          <w:rFonts w:ascii="Times New Roman" w:hAnsi="Times New Roman"/>
          <w:sz w:val="24"/>
          <w:szCs w:val="24"/>
        </w:rPr>
        <w:t>keskkond ja kliima</w:t>
      </w:r>
    </w:p>
    <w:p w14:paraId="16F8AF29" w14:textId="77777777" w:rsidR="00BC0A41" w:rsidRPr="00BE3E7A" w:rsidRDefault="00BC0A41" w:rsidP="00255594">
      <w:pPr>
        <w:pStyle w:val="Default"/>
        <w:rPr>
          <w:rFonts w:ascii="Times New Roman" w:hAnsi="Times New Roman" w:cs="Times New Roman"/>
          <w:lang w:eastAsia="et-EE"/>
        </w:rPr>
      </w:pPr>
    </w:p>
    <w:p w14:paraId="73AF8A32" w14:textId="77777777" w:rsidR="00255594" w:rsidRPr="00BE3E7A" w:rsidRDefault="00255594" w:rsidP="00255594">
      <w:pPr>
        <w:spacing w:after="0" w:line="240" w:lineRule="auto"/>
        <w:jc w:val="both"/>
        <w:rPr>
          <w:rFonts w:ascii="Times New Roman" w:hAnsi="Times New Roman"/>
          <w:sz w:val="24"/>
          <w:szCs w:val="24"/>
        </w:rPr>
      </w:pPr>
      <w:r w:rsidRPr="00BE3E7A">
        <w:rPr>
          <w:rFonts w:ascii="Times New Roman" w:hAnsi="Times New Roman"/>
          <w:sz w:val="24"/>
          <w:szCs w:val="24"/>
        </w:rPr>
        <w:t>Projekti valikul järgitakse „Perioodi 2021-2027 Euroopa Liidu ühtekuuluvus- ja siseturvalisuspoliitika fondide rakendamise seaduses“ ja selle alusel antavates õigusaktides sätestatut.</w:t>
      </w:r>
    </w:p>
    <w:p w14:paraId="30558BEA" w14:textId="77777777" w:rsidR="00255594" w:rsidRPr="00BE3E7A" w:rsidRDefault="00255594" w:rsidP="00255594">
      <w:pPr>
        <w:pStyle w:val="CM1"/>
        <w:jc w:val="both"/>
        <w:rPr>
          <w:rFonts w:ascii="Times New Roman" w:hAnsi="Times New Roman"/>
        </w:rPr>
      </w:pPr>
    </w:p>
    <w:p w14:paraId="5CE54B46" w14:textId="77777777" w:rsidR="00255594" w:rsidRPr="00BE3E7A" w:rsidRDefault="00255594" w:rsidP="00255594">
      <w:pPr>
        <w:pStyle w:val="CM1"/>
        <w:jc w:val="both"/>
        <w:rPr>
          <w:rFonts w:ascii="Times New Roman" w:hAnsi="Times New Roman"/>
          <w:color w:val="000000"/>
        </w:rPr>
      </w:pPr>
      <w:r w:rsidRPr="00BE3E7A">
        <w:rPr>
          <w:rFonts w:ascii="Times New Roman" w:hAnsi="Times New Roman"/>
        </w:rPr>
        <w:t>Alljärgnevalt on toodud valikumetoodika põhimõtted rakendusskeemide kaupa.</w:t>
      </w:r>
    </w:p>
    <w:p w14:paraId="6385B044" w14:textId="77777777" w:rsidR="00255594" w:rsidRPr="00BE3E7A" w:rsidRDefault="00255594" w:rsidP="00255594">
      <w:pPr>
        <w:pStyle w:val="Default"/>
        <w:rPr>
          <w:rFonts w:ascii="Times New Roman" w:hAnsi="Times New Roman" w:cs="Times New Roman"/>
          <w:lang w:eastAsia="et-EE"/>
        </w:rPr>
      </w:pPr>
    </w:p>
    <w:p w14:paraId="1AC819DD" w14:textId="77777777" w:rsidR="00255594" w:rsidRPr="00BE3E7A" w:rsidRDefault="00255594" w:rsidP="00255594">
      <w:pPr>
        <w:numPr>
          <w:ilvl w:val="0"/>
          <w:numId w:val="5"/>
        </w:numPr>
        <w:spacing w:after="0" w:line="240" w:lineRule="auto"/>
        <w:ind w:left="426" w:hanging="426"/>
        <w:jc w:val="both"/>
        <w:rPr>
          <w:rFonts w:ascii="Times New Roman" w:hAnsi="Times New Roman"/>
          <w:b/>
          <w:sz w:val="24"/>
          <w:szCs w:val="24"/>
        </w:rPr>
      </w:pPr>
      <w:r w:rsidRPr="00BE3E7A">
        <w:rPr>
          <w:rFonts w:ascii="Times New Roman" w:hAnsi="Times New Roman"/>
          <w:b/>
          <w:bCs/>
          <w:sz w:val="24"/>
          <w:szCs w:val="24"/>
        </w:rPr>
        <w:t>Toetuse andmine määruse alusel</w:t>
      </w:r>
    </w:p>
    <w:p w14:paraId="0995021D" w14:textId="77777777" w:rsidR="00255594" w:rsidRPr="00BE3E7A" w:rsidRDefault="00255594" w:rsidP="00255594">
      <w:pPr>
        <w:spacing w:after="0" w:line="240" w:lineRule="auto"/>
        <w:ind w:left="426"/>
        <w:jc w:val="both"/>
        <w:rPr>
          <w:rFonts w:ascii="Times New Roman" w:hAnsi="Times New Roman"/>
          <w:sz w:val="24"/>
          <w:szCs w:val="24"/>
        </w:rPr>
      </w:pPr>
      <w:r w:rsidRPr="00BE3E7A">
        <w:rPr>
          <w:rFonts w:ascii="Times New Roman" w:hAnsi="Times New Roman"/>
          <w:color w:val="000000"/>
          <w:sz w:val="24"/>
          <w:szCs w:val="24"/>
        </w:rPr>
        <w:t>Valikukriteeriumite alusel ja valikumetoodika kohasele projektide valimisele eelneb taotlejale, partnerile ja taotlusele sätestatud nõuetele vastavuse kontroll. Nõuetele vastavaks tunnistatud projektide seast valitakse välja rahastamiseks sobilikud projektid järgnevalt kirjeldatud põhimõtete kohaselt.</w:t>
      </w:r>
    </w:p>
    <w:p w14:paraId="347EC94F" w14:textId="77777777" w:rsidR="00255594" w:rsidRPr="00BE3E7A" w:rsidRDefault="00255594" w:rsidP="00255594">
      <w:pPr>
        <w:spacing w:after="0" w:line="240" w:lineRule="auto"/>
        <w:ind w:left="426"/>
        <w:jc w:val="both"/>
        <w:rPr>
          <w:rFonts w:ascii="Times New Roman" w:hAnsi="Times New Roman"/>
          <w:b/>
          <w:sz w:val="24"/>
          <w:szCs w:val="24"/>
        </w:rPr>
      </w:pPr>
    </w:p>
    <w:p w14:paraId="7EFDAD11" w14:textId="77777777" w:rsidR="00255594" w:rsidRPr="00BE3E7A" w:rsidRDefault="00255594" w:rsidP="00255594">
      <w:pPr>
        <w:numPr>
          <w:ilvl w:val="1"/>
          <w:numId w:val="6"/>
        </w:numPr>
        <w:spacing w:after="0" w:line="240" w:lineRule="auto"/>
        <w:ind w:left="426" w:hanging="426"/>
        <w:jc w:val="both"/>
        <w:rPr>
          <w:rFonts w:ascii="Times New Roman" w:hAnsi="Times New Roman"/>
          <w:sz w:val="24"/>
          <w:szCs w:val="24"/>
        </w:rPr>
      </w:pPr>
      <w:proofErr w:type="spellStart"/>
      <w:r w:rsidRPr="00BE3E7A">
        <w:rPr>
          <w:rFonts w:ascii="Times New Roman" w:hAnsi="Times New Roman"/>
          <w:sz w:val="24"/>
          <w:szCs w:val="24"/>
          <w:u w:val="single"/>
        </w:rPr>
        <w:t>Voorulisel</w:t>
      </w:r>
      <w:proofErr w:type="spellEnd"/>
      <w:r w:rsidRPr="00BE3E7A">
        <w:rPr>
          <w:rFonts w:ascii="Times New Roman" w:hAnsi="Times New Roman"/>
          <w:sz w:val="24"/>
          <w:szCs w:val="24"/>
          <w:u w:val="single"/>
        </w:rPr>
        <w:t xml:space="preserve"> taotlemisel</w:t>
      </w:r>
      <w:r w:rsidRPr="00BE3E7A">
        <w:rPr>
          <w:rFonts w:ascii="Times New Roman" w:hAnsi="Times New Roman"/>
          <w:sz w:val="24"/>
          <w:szCs w:val="24"/>
        </w:rPr>
        <w:t xml:space="preserve"> moodustatakse paremusjärjestus ja rahuldatakse kõige enam hindepunkte saanud toetuse taotlused taotluste rahastamise eelarve mahu piires. Selleks, et tagada ainult nende projektide rahastamine, mis panustavad märkimisväärselt meetme tegevuste eesmärkidesse, võib sätestada lävendi ühe või enama valikukriteeriumi alusel antavatele punktidele või hindepunktide kogusummale. </w:t>
      </w:r>
      <w:proofErr w:type="spellStart"/>
      <w:r w:rsidRPr="00BE3E7A">
        <w:rPr>
          <w:rFonts w:ascii="Times New Roman" w:hAnsi="Times New Roman"/>
          <w:sz w:val="24"/>
          <w:szCs w:val="24"/>
        </w:rPr>
        <w:t>Voorulisel</w:t>
      </w:r>
      <w:proofErr w:type="spellEnd"/>
      <w:r w:rsidRPr="00BE3E7A">
        <w:rPr>
          <w:rFonts w:ascii="Times New Roman" w:hAnsi="Times New Roman"/>
          <w:sz w:val="24"/>
          <w:szCs w:val="24"/>
        </w:rPr>
        <w:t xml:space="preserve"> taotlemisel tuleb:</w:t>
      </w:r>
    </w:p>
    <w:p w14:paraId="64E56F6B" w14:textId="77777777" w:rsidR="00255594" w:rsidRPr="00BE3E7A" w:rsidRDefault="00255594" w:rsidP="00255594">
      <w:pPr>
        <w:pStyle w:val="Vahedeta"/>
        <w:numPr>
          <w:ilvl w:val="2"/>
          <w:numId w:val="4"/>
        </w:numPr>
        <w:ind w:left="1134"/>
        <w:jc w:val="both"/>
        <w:rPr>
          <w:rFonts w:ascii="Times New Roman" w:hAnsi="Times New Roman"/>
          <w:sz w:val="24"/>
          <w:szCs w:val="24"/>
        </w:rPr>
      </w:pPr>
      <w:r w:rsidRPr="00BE3E7A">
        <w:rPr>
          <w:rFonts w:ascii="Times New Roman" w:hAnsi="Times New Roman"/>
          <w:sz w:val="24"/>
          <w:szCs w:val="24"/>
        </w:rPr>
        <w:t>mitme valikukriteeriumi puhul määrata neile osatähtsused, mis võivad olla kas võrdsed või erinevad;</w:t>
      </w:r>
    </w:p>
    <w:p w14:paraId="50F03AA8" w14:textId="77777777" w:rsidR="00255594" w:rsidRPr="00BE3E7A" w:rsidRDefault="00255594" w:rsidP="00255594">
      <w:pPr>
        <w:pStyle w:val="Vahedeta"/>
        <w:numPr>
          <w:ilvl w:val="2"/>
          <w:numId w:val="4"/>
        </w:numPr>
        <w:ind w:left="1134"/>
        <w:jc w:val="both"/>
        <w:rPr>
          <w:rFonts w:ascii="Times New Roman" w:hAnsi="Times New Roman"/>
          <w:sz w:val="24"/>
          <w:szCs w:val="24"/>
        </w:rPr>
      </w:pPr>
      <w:r w:rsidRPr="00BE3E7A">
        <w:rPr>
          <w:rFonts w:ascii="Times New Roman" w:hAnsi="Times New Roman"/>
          <w:sz w:val="24"/>
          <w:szCs w:val="24"/>
        </w:rPr>
        <w:t>valikukriteeriumile omistada hindepunktide skaala, sh minimaalne lävend, kui see on asjakohane, ja kirjeldada hindepunkti andmise aluseks olevaid asjaolusid. Kui hinnatakse lävendile vastavust hindepunkte andmata,  kirjeldada lävendile vastavuse asjaolusid või eeldusi;</w:t>
      </w:r>
    </w:p>
    <w:p w14:paraId="2B071041" w14:textId="77777777" w:rsidR="00255594" w:rsidRPr="00BE3E7A" w:rsidRDefault="00255594" w:rsidP="00255594">
      <w:pPr>
        <w:pStyle w:val="Vahedeta"/>
        <w:numPr>
          <w:ilvl w:val="2"/>
          <w:numId w:val="4"/>
        </w:numPr>
        <w:ind w:left="1134"/>
        <w:jc w:val="both"/>
        <w:rPr>
          <w:rFonts w:ascii="Times New Roman" w:hAnsi="Times New Roman"/>
          <w:sz w:val="24"/>
          <w:szCs w:val="24"/>
        </w:rPr>
      </w:pPr>
      <w:r w:rsidRPr="00BE3E7A">
        <w:rPr>
          <w:rFonts w:ascii="Times New Roman" w:hAnsi="Times New Roman"/>
          <w:sz w:val="24"/>
          <w:szCs w:val="24"/>
        </w:rPr>
        <w:lastRenderedPageBreak/>
        <w:t>antud hindepunkte põhjendada, välja arvatud juhul kui iga hindepunkti andmise aluseks olevaid asjaolusid on metoodikas kirjeldatud;</w:t>
      </w:r>
    </w:p>
    <w:p w14:paraId="4907638E" w14:textId="77777777" w:rsidR="00255594" w:rsidRPr="00BE3E7A" w:rsidRDefault="00255594" w:rsidP="00255594">
      <w:pPr>
        <w:pStyle w:val="Vahedeta"/>
        <w:numPr>
          <w:ilvl w:val="2"/>
          <w:numId w:val="4"/>
        </w:numPr>
        <w:ind w:left="1134"/>
        <w:jc w:val="both"/>
        <w:rPr>
          <w:rFonts w:ascii="Times New Roman" w:hAnsi="Times New Roman"/>
          <w:sz w:val="24"/>
          <w:szCs w:val="24"/>
        </w:rPr>
      </w:pPr>
      <w:r w:rsidRPr="00BE3E7A">
        <w:rPr>
          <w:rFonts w:ascii="Times New Roman" w:hAnsi="Times New Roman"/>
          <w:sz w:val="24"/>
          <w:szCs w:val="24"/>
        </w:rPr>
        <w:t xml:space="preserve">määrata valikukriteeriumite lõikes hindajate poolt antavate hindepunktide kõikumise lubatav maksimaalne vahemik ja käitumisreegel lubatust suurema kõikumise korral (nt kordushindamine), sest suur varieeruvus hindepunktides viitab võimalusele, et hindajad on mõistnud vääriti valikukriteeriumi olemust, taotluses esitatud infot või jätnud esitatud infost midagi tähelepanuta. Juhul kui iga kriteeriumi hindamine toimub konsensuse alusel, siis see punkt ei rakendu; </w:t>
      </w:r>
    </w:p>
    <w:p w14:paraId="3B83258A" w14:textId="77777777" w:rsidR="00255594" w:rsidRPr="00BE3E7A" w:rsidRDefault="00255594" w:rsidP="00255594">
      <w:pPr>
        <w:pStyle w:val="Vahedeta"/>
        <w:numPr>
          <w:ilvl w:val="2"/>
          <w:numId w:val="4"/>
        </w:numPr>
        <w:ind w:left="1134"/>
        <w:jc w:val="both"/>
        <w:rPr>
          <w:rFonts w:ascii="Times New Roman" w:hAnsi="Times New Roman"/>
          <w:sz w:val="24"/>
          <w:szCs w:val="24"/>
        </w:rPr>
      </w:pPr>
      <w:r w:rsidRPr="00BE3E7A">
        <w:rPr>
          <w:rFonts w:ascii="Times New Roman" w:hAnsi="Times New Roman"/>
          <w:sz w:val="24"/>
          <w:szCs w:val="24"/>
        </w:rPr>
        <w:t>arvutada taotluse koondhinne;</w:t>
      </w:r>
      <w:r w:rsidRPr="00BE3E7A">
        <w:rPr>
          <w:rFonts w:ascii="Times New Roman" w:hAnsi="Times New Roman"/>
          <w:sz w:val="24"/>
          <w:szCs w:val="24"/>
          <w:lang w:eastAsia="et-EE"/>
        </w:rPr>
        <w:t xml:space="preserve"> </w:t>
      </w:r>
    </w:p>
    <w:p w14:paraId="3143E8A4" w14:textId="77777777" w:rsidR="00255594" w:rsidRPr="00BE3E7A" w:rsidRDefault="00255594" w:rsidP="00255594">
      <w:pPr>
        <w:pStyle w:val="Vahedeta"/>
        <w:numPr>
          <w:ilvl w:val="2"/>
          <w:numId w:val="4"/>
        </w:numPr>
        <w:ind w:left="1134"/>
        <w:jc w:val="both"/>
        <w:rPr>
          <w:rFonts w:ascii="Times New Roman" w:hAnsi="Times New Roman"/>
          <w:sz w:val="24"/>
          <w:szCs w:val="24"/>
        </w:rPr>
      </w:pPr>
      <w:r w:rsidRPr="00BE3E7A">
        <w:rPr>
          <w:rFonts w:ascii="Times New Roman" w:hAnsi="Times New Roman"/>
          <w:sz w:val="24"/>
          <w:szCs w:val="24"/>
        </w:rPr>
        <w:t>moodustada hindamistulemuste alusel taotlustest paremusjärjestus;</w:t>
      </w:r>
    </w:p>
    <w:p w14:paraId="15409653" w14:textId="77777777" w:rsidR="00255594" w:rsidRPr="00BE3E7A" w:rsidRDefault="00255594" w:rsidP="00255594">
      <w:pPr>
        <w:pStyle w:val="Vahedeta"/>
        <w:numPr>
          <w:ilvl w:val="2"/>
          <w:numId w:val="4"/>
        </w:numPr>
        <w:ind w:left="1134"/>
        <w:jc w:val="both"/>
        <w:rPr>
          <w:rFonts w:ascii="Times New Roman" w:hAnsi="Times New Roman"/>
          <w:sz w:val="24"/>
          <w:szCs w:val="24"/>
        </w:rPr>
      </w:pPr>
      <w:r w:rsidRPr="00BE3E7A">
        <w:rPr>
          <w:rFonts w:ascii="Times New Roman" w:hAnsi="Times New Roman"/>
          <w:sz w:val="24"/>
          <w:szCs w:val="24"/>
          <w:lang w:eastAsia="et-EE"/>
        </w:rPr>
        <w:t xml:space="preserve">sätestada </w:t>
      </w:r>
      <w:r w:rsidRPr="00BE3E7A">
        <w:rPr>
          <w:rFonts w:ascii="Times New Roman" w:hAnsi="Times New Roman"/>
          <w:sz w:val="24"/>
          <w:szCs w:val="24"/>
        </w:rPr>
        <w:t xml:space="preserve">taotluste rahastamise eelarve </w:t>
      </w:r>
      <w:r w:rsidRPr="00BE3E7A">
        <w:rPr>
          <w:rFonts w:ascii="Times New Roman" w:hAnsi="Times New Roman"/>
          <w:sz w:val="24"/>
          <w:szCs w:val="24"/>
          <w:lang w:eastAsia="et-EE"/>
        </w:rPr>
        <w:t>täitumise korral käitumisreegel võrdsete tulemustega taotluste vahel valiku tegemiseks (nt olemasoleva kriteeriumi või eraldiseisva kriteeriumi rakendamine, liisu heitmine).</w:t>
      </w:r>
    </w:p>
    <w:p w14:paraId="69D3B136" w14:textId="77777777" w:rsidR="00255594" w:rsidRPr="00BE3E7A" w:rsidRDefault="00255594" w:rsidP="00255594">
      <w:pPr>
        <w:pStyle w:val="Vahedeta"/>
        <w:ind w:left="1665"/>
        <w:jc w:val="both"/>
        <w:rPr>
          <w:rFonts w:ascii="Times New Roman" w:hAnsi="Times New Roman"/>
          <w:sz w:val="24"/>
          <w:szCs w:val="24"/>
        </w:rPr>
      </w:pPr>
    </w:p>
    <w:p w14:paraId="79425442" w14:textId="77777777" w:rsidR="00255594" w:rsidRPr="00BE3E7A" w:rsidRDefault="00255594" w:rsidP="00255594">
      <w:pPr>
        <w:pStyle w:val="Vahedeta"/>
        <w:numPr>
          <w:ilvl w:val="1"/>
          <w:numId w:val="6"/>
        </w:numPr>
        <w:tabs>
          <w:tab w:val="left" w:pos="426"/>
        </w:tabs>
        <w:ind w:left="426" w:hanging="426"/>
        <w:jc w:val="both"/>
        <w:rPr>
          <w:rFonts w:ascii="Times New Roman" w:hAnsi="Times New Roman"/>
          <w:sz w:val="24"/>
          <w:szCs w:val="24"/>
        </w:rPr>
      </w:pPr>
      <w:r w:rsidRPr="00BE3E7A">
        <w:rPr>
          <w:rFonts w:ascii="Times New Roman" w:hAnsi="Times New Roman"/>
          <w:sz w:val="24"/>
          <w:szCs w:val="24"/>
          <w:u w:val="single"/>
        </w:rPr>
        <w:t>Jooksval taotlemisel</w:t>
      </w:r>
      <w:r w:rsidRPr="00BE3E7A">
        <w:rPr>
          <w:rFonts w:ascii="Times New Roman" w:hAnsi="Times New Roman"/>
          <w:sz w:val="24"/>
          <w:szCs w:val="24"/>
        </w:rPr>
        <w:t xml:space="preserve"> hinnatakse valikukriteeriumide lõikes või koondina kokku sätestatud lävendile vastavust ja rahuldatakse taotluste rahastamise eelarve mahu piires projektid, mis vastavad või ületavad seatud lävendi. Lävendi võib sätestada:</w:t>
      </w:r>
    </w:p>
    <w:p w14:paraId="00A75A8C" w14:textId="77777777" w:rsidR="00255594" w:rsidRPr="00BE3E7A" w:rsidRDefault="00255594" w:rsidP="00255594">
      <w:pPr>
        <w:pStyle w:val="Vahedeta"/>
        <w:numPr>
          <w:ilvl w:val="0"/>
          <w:numId w:val="8"/>
        </w:numPr>
        <w:tabs>
          <w:tab w:val="left" w:pos="426"/>
        </w:tabs>
        <w:ind w:left="1134"/>
        <w:jc w:val="both"/>
        <w:rPr>
          <w:rFonts w:ascii="Times New Roman" w:hAnsi="Times New Roman"/>
          <w:sz w:val="24"/>
          <w:szCs w:val="24"/>
        </w:rPr>
      </w:pPr>
      <w:r w:rsidRPr="00BE3E7A">
        <w:rPr>
          <w:rFonts w:ascii="Times New Roman" w:hAnsi="Times New Roman"/>
          <w:sz w:val="24"/>
          <w:szCs w:val="24"/>
        </w:rPr>
        <w:t>määratledes minimaalse hindepunktide summa, kui antakse hindepunkte. Hindepunktide andmisel tuleb lisaks alltoodule järgida punktis 1.1 kirjeldatud valikumetoodika punkte a-d ja punkti e kui lävend on seatud taotluse koondhindele või</w:t>
      </w:r>
    </w:p>
    <w:p w14:paraId="2F4955FF" w14:textId="77777777" w:rsidR="00255594" w:rsidRPr="00BE3E7A" w:rsidRDefault="00255594" w:rsidP="00255594">
      <w:pPr>
        <w:pStyle w:val="Vahedeta"/>
        <w:numPr>
          <w:ilvl w:val="0"/>
          <w:numId w:val="8"/>
        </w:numPr>
        <w:tabs>
          <w:tab w:val="left" w:pos="426"/>
        </w:tabs>
        <w:ind w:left="1134"/>
        <w:jc w:val="both"/>
        <w:rPr>
          <w:rFonts w:ascii="Times New Roman" w:hAnsi="Times New Roman"/>
          <w:sz w:val="24"/>
          <w:szCs w:val="24"/>
        </w:rPr>
      </w:pPr>
      <w:r w:rsidRPr="00BE3E7A">
        <w:rPr>
          <w:rFonts w:ascii="Times New Roman" w:hAnsi="Times New Roman"/>
          <w:sz w:val="24"/>
          <w:szCs w:val="24"/>
        </w:rPr>
        <w:t xml:space="preserve"> kirjeldades lävendile vastavuse asjaolusid või eeldusi, kui hinnatakse lävendile vastavust hindepunkte andmata. </w:t>
      </w:r>
    </w:p>
    <w:p w14:paraId="2B74E6C4" w14:textId="77777777" w:rsidR="00255594" w:rsidRPr="00BE3E7A" w:rsidRDefault="00255594" w:rsidP="00255594">
      <w:pPr>
        <w:pStyle w:val="Vahedeta"/>
        <w:tabs>
          <w:tab w:val="left" w:pos="851"/>
        </w:tabs>
        <w:ind w:left="426"/>
        <w:jc w:val="both"/>
        <w:rPr>
          <w:rFonts w:ascii="Times New Roman" w:hAnsi="Times New Roman"/>
          <w:sz w:val="24"/>
          <w:szCs w:val="24"/>
        </w:rPr>
      </w:pPr>
      <w:r w:rsidRPr="00BE3E7A">
        <w:rPr>
          <w:rFonts w:ascii="Times New Roman" w:hAnsi="Times New Roman"/>
          <w:sz w:val="24"/>
          <w:szCs w:val="24"/>
        </w:rPr>
        <w:t>Jooksval taotlemisel tuleb:</w:t>
      </w:r>
    </w:p>
    <w:p w14:paraId="3EC5A4FD" w14:textId="77777777" w:rsidR="00255594" w:rsidRPr="00BE3E7A" w:rsidRDefault="00255594" w:rsidP="00255594">
      <w:pPr>
        <w:pStyle w:val="Vahedeta"/>
        <w:numPr>
          <w:ilvl w:val="0"/>
          <w:numId w:val="7"/>
        </w:numPr>
        <w:tabs>
          <w:tab w:val="left" w:pos="426"/>
        </w:tabs>
        <w:ind w:left="1134"/>
        <w:jc w:val="both"/>
        <w:rPr>
          <w:rFonts w:ascii="Times New Roman" w:hAnsi="Times New Roman"/>
          <w:sz w:val="24"/>
          <w:szCs w:val="24"/>
        </w:rPr>
      </w:pPr>
      <w:r w:rsidRPr="00BE3E7A">
        <w:rPr>
          <w:rFonts w:ascii="Times New Roman" w:hAnsi="Times New Roman"/>
          <w:sz w:val="24"/>
          <w:szCs w:val="24"/>
        </w:rPr>
        <w:t xml:space="preserve">sätestada lävend, millest alates taotlused rahuldatakse. Hindepunktide andmisel võib lävendi või lävendid sätestada kas üksikute valikukriteeriumide lõikes või kõikide valikukriteeriumide alusel antavale koondhindele. Kui hindepunkte ei anta, sätestatakse lävend valikukriteeriumide lõikes, vastavalt alljärgnevale punktile </w:t>
      </w:r>
      <w:proofErr w:type="spellStart"/>
      <w:r w:rsidRPr="00BE3E7A">
        <w:rPr>
          <w:rFonts w:ascii="Times New Roman" w:hAnsi="Times New Roman"/>
          <w:sz w:val="24"/>
          <w:szCs w:val="24"/>
        </w:rPr>
        <w:t>b.</w:t>
      </w:r>
      <w:proofErr w:type="spellEnd"/>
      <w:r w:rsidRPr="00BE3E7A">
        <w:rPr>
          <w:rFonts w:ascii="Times New Roman" w:hAnsi="Times New Roman"/>
          <w:sz w:val="24"/>
          <w:szCs w:val="24"/>
        </w:rPr>
        <w:t xml:space="preserve"> </w:t>
      </w:r>
    </w:p>
    <w:p w14:paraId="3F574D72" w14:textId="77777777" w:rsidR="00255594" w:rsidRPr="00BE3E7A" w:rsidRDefault="00255594" w:rsidP="00255594">
      <w:pPr>
        <w:pStyle w:val="Vahedeta"/>
        <w:numPr>
          <w:ilvl w:val="0"/>
          <w:numId w:val="7"/>
        </w:numPr>
        <w:tabs>
          <w:tab w:val="left" w:pos="426"/>
        </w:tabs>
        <w:ind w:left="1134"/>
        <w:jc w:val="both"/>
        <w:rPr>
          <w:rFonts w:ascii="Times New Roman" w:hAnsi="Times New Roman"/>
          <w:sz w:val="24"/>
          <w:szCs w:val="24"/>
        </w:rPr>
      </w:pPr>
      <w:r w:rsidRPr="00BE3E7A">
        <w:rPr>
          <w:rFonts w:ascii="Times New Roman" w:hAnsi="Times New Roman"/>
          <w:sz w:val="24"/>
          <w:szCs w:val="24"/>
        </w:rPr>
        <w:t>määratleda lävendile vastavuse aluseks olevad asjaolud või eeldused kui lävendid sätestatakse üksikute valikukriteeriumide lõikes;</w:t>
      </w:r>
    </w:p>
    <w:p w14:paraId="1342F42B" w14:textId="77777777" w:rsidR="00255594" w:rsidRPr="00BE3E7A" w:rsidRDefault="00255594" w:rsidP="00255594">
      <w:pPr>
        <w:pStyle w:val="Vahedeta"/>
        <w:numPr>
          <w:ilvl w:val="0"/>
          <w:numId w:val="7"/>
        </w:numPr>
        <w:tabs>
          <w:tab w:val="left" w:pos="426"/>
        </w:tabs>
        <w:ind w:left="1134"/>
        <w:jc w:val="both"/>
        <w:rPr>
          <w:rFonts w:ascii="Times New Roman" w:hAnsi="Times New Roman"/>
          <w:sz w:val="24"/>
          <w:szCs w:val="24"/>
        </w:rPr>
      </w:pPr>
      <w:r w:rsidRPr="00BE3E7A">
        <w:rPr>
          <w:rFonts w:ascii="Times New Roman" w:hAnsi="Times New Roman"/>
          <w:sz w:val="24"/>
          <w:szCs w:val="24"/>
        </w:rPr>
        <w:t xml:space="preserve">lävendile vastavust ja mittevastavust põhjendada (nt hindamislehtedel või -protokollis), välja arvatud juhul kui sätestatud </w:t>
      </w:r>
      <w:proofErr w:type="spellStart"/>
      <w:r w:rsidRPr="00BE3E7A">
        <w:rPr>
          <w:rFonts w:ascii="Times New Roman" w:hAnsi="Times New Roman"/>
          <w:sz w:val="24"/>
          <w:szCs w:val="24"/>
        </w:rPr>
        <w:t>lävendite</w:t>
      </w:r>
      <w:proofErr w:type="spellEnd"/>
      <w:r w:rsidRPr="00BE3E7A">
        <w:rPr>
          <w:rFonts w:ascii="Times New Roman" w:hAnsi="Times New Roman"/>
          <w:sz w:val="24"/>
          <w:szCs w:val="24"/>
        </w:rPr>
        <w:t xml:space="preserve"> vastavuse aluseks olevad asjaolud ja eeldused on metoodikas kirjeldatud; </w:t>
      </w:r>
    </w:p>
    <w:p w14:paraId="0A9DE2BA" w14:textId="77777777" w:rsidR="00255594" w:rsidRPr="00BE3E7A" w:rsidRDefault="00255594" w:rsidP="00255594">
      <w:pPr>
        <w:pStyle w:val="Vahedeta"/>
        <w:numPr>
          <w:ilvl w:val="0"/>
          <w:numId w:val="7"/>
        </w:numPr>
        <w:tabs>
          <w:tab w:val="left" w:pos="426"/>
        </w:tabs>
        <w:ind w:left="1134"/>
        <w:jc w:val="both"/>
        <w:rPr>
          <w:rFonts w:ascii="Times New Roman" w:hAnsi="Times New Roman"/>
          <w:sz w:val="24"/>
          <w:szCs w:val="24"/>
        </w:rPr>
      </w:pPr>
      <w:r w:rsidRPr="00BE3E7A">
        <w:rPr>
          <w:rFonts w:ascii="Times New Roman" w:hAnsi="Times New Roman"/>
          <w:sz w:val="24"/>
          <w:szCs w:val="24"/>
          <w:lang w:eastAsia="et-EE"/>
        </w:rPr>
        <w:t>sätestada eelarve täitumise korral käitumisreegel (n. rahastatakse taotlusi nende esitamise järjekorras).</w:t>
      </w:r>
    </w:p>
    <w:p w14:paraId="660FA986" w14:textId="77777777" w:rsidR="00255594" w:rsidRPr="00BE3E7A" w:rsidRDefault="00255594" w:rsidP="00255594">
      <w:pPr>
        <w:pStyle w:val="Vahedeta"/>
        <w:tabs>
          <w:tab w:val="left" w:pos="426"/>
        </w:tabs>
        <w:jc w:val="both"/>
        <w:rPr>
          <w:rFonts w:ascii="Times New Roman" w:hAnsi="Times New Roman"/>
          <w:sz w:val="24"/>
          <w:szCs w:val="24"/>
        </w:rPr>
      </w:pPr>
    </w:p>
    <w:p w14:paraId="01E75D1D" w14:textId="77777777" w:rsidR="00255594" w:rsidRPr="00BE3E7A" w:rsidRDefault="00255594" w:rsidP="00255594">
      <w:pPr>
        <w:pStyle w:val="Loendilik"/>
        <w:numPr>
          <w:ilvl w:val="0"/>
          <w:numId w:val="6"/>
        </w:numPr>
        <w:spacing w:after="0" w:line="240" w:lineRule="auto"/>
        <w:jc w:val="both"/>
        <w:rPr>
          <w:rFonts w:ascii="Times New Roman" w:hAnsi="Times New Roman"/>
          <w:b/>
          <w:sz w:val="24"/>
          <w:szCs w:val="24"/>
        </w:rPr>
      </w:pPr>
      <w:r w:rsidRPr="00BE3E7A">
        <w:rPr>
          <w:rFonts w:ascii="Times New Roman" w:hAnsi="Times New Roman"/>
          <w:b/>
          <w:bCs/>
          <w:sz w:val="24"/>
          <w:szCs w:val="24"/>
          <w:lang w:eastAsia="et-EE"/>
        </w:rPr>
        <w:t>Toetuse andmine i</w:t>
      </w:r>
      <w:r w:rsidRPr="00BE3E7A">
        <w:rPr>
          <w:rFonts w:ascii="Times New Roman" w:hAnsi="Times New Roman"/>
          <w:b/>
          <w:sz w:val="24"/>
          <w:szCs w:val="24"/>
        </w:rPr>
        <w:t>nvesteeringute kava alusel</w:t>
      </w:r>
    </w:p>
    <w:p w14:paraId="23EBD670" w14:textId="77777777" w:rsidR="00255594" w:rsidRPr="00BE3E7A" w:rsidRDefault="00255594" w:rsidP="00255594">
      <w:pPr>
        <w:pStyle w:val="Loendilik"/>
        <w:spacing w:after="0" w:line="240" w:lineRule="auto"/>
        <w:ind w:left="426"/>
        <w:jc w:val="both"/>
        <w:rPr>
          <w:rFonts w:ascii="Times New Roman" w:hAnsi="Times New Roman"/>
          <w:sz w:val="24"/>
          <w:szCs w:val="24"/>
        </w:rPr>
      </w:pPr>
      <w:r w:rsidRPr="00BE3E7A">
        <w:rPr>
          <w:rFonts w:ascii="Times New Roman" w:hAnsi="Times New Roman"/>
          <w:sz w:val="24"/>
          <w:szCs w:val="24"/>
        </w:rPr>
        <w:t>Ettepanekute hindamisel investeeringute kava koostamiseks rakendatakse ühte punktis 1 kirjeldatud avatud taotlemise valikumetoodikatest (välja arvatud juhul kui investeeringute kava objektid kinnitatakse TAT käskkirjaga, sellisel juhul lähtutakse punktist 3). Kinnitatud investeeringute kavas oleva projekti kohta esitatakse taotlus, mille juures kontrollitakse vastavust investeeringute kavale, toetuse andmise tingimustes sätestatud taotleja, partneri ja taotluse nõuetele - taotlusi ei hinnata uuesti projektivaliku tegemise eesmärgil, kuna valikukriteeriumite kohane projektivalik on tehtud investeeringute kava kinnitamisega.</w:t>
      </w:r>
    </w:p>
    <w:p w14:paraId="298E434F" w14:textId="6A1D4E3D" w:rsidR="00255594" w:rsidRDefault="00255594" w:rsidP="00255594">
      <w:pPr>
        <w:spacing w:after="0" w:line="240" w:lineRule="auto"/>
        <w:ind w:left="360"/>
        <w:jc w:val="both"/>
        <w:rPr>
          <w:rFonts w:ascii="Times New Roman" w:hAnsi="Times New Roman"/>
          <w:sz w:val="24"/>
          <w:szCs w:val="24"/>
        </w:rPr>
      </w:pPr>
    </w:p>
    <w:p w14:paraId="014F67A2" w14:textId="77777777" w:rsidR="00BE0B9B" w:rsidRPr="00BE3E7A" w:rsidRDefault="00BE0B9B" w:rsidP="00255594">
      <w:pPr>
        <w:spacing w:after="0" w:line="240" w:lineRule="auto"/>
        <w:ind w:left="360"/>
        <w:jc w:val="both"/>
        <w:rPr>
          <w:rFonts w:ascii="Times New Roman" w:hAnsi="Times New Roman"/>
          <w:sz w:val="24"/>
          <w:szCs w:val="24"/>
        </w:rPr>
      </w:pPr>
    </w:p>
    <w:p w14:paraId="51B8F627" w14:textId="77777777" w:rsidR="00255594" w:rsidRPr="00BE3E7A" w:rsidRDefault="00255594" w:rsidP="00255594">
      <w:pPr>
        <w:pStyle w:val="Default"/>
        <w:numPr>
          <w:ilvl w:val="0"/>
          <w:numId w:val="6"/>
        </w:numPr>
        <w:jc w:val="both"/>
        <w:rPr>
          <w:rFonts w:ascii="Times New Roman" w:hAnsi="Times New Roman" w:cs="Times New Roman"/>
          <w:b/>
          <w:lang w:eastAsia="et-EE"/>
        </w:rPr>
      </w:pPr>
      <w:r w:rsidRPr="00BE3E7A">
        <w:rPr>
          <w:rFonts w:ascii="Times New Roman" w:hAnsi="Times New Roman" w:cs="Times New Roman"/>
          <w:b/>
        </w:rPr>
        <w:t>Toetuse andmine käskkirja alusel</w:t>
      </w:r>
    </w:p>
    <w:p w14:paraId="3FC828CF" w14:textId="77777777" w:rsidR="00255594" w:rsidRPr="00BE3E7A" w:rsidRDefault="00255594" w:rsidP="00255594">
      <w:pPr>
        <w:pStyle w:val="Default"/>
        <w:numPr>
          <w:ilvl w:val="1"/>
          <w:numId w:val="6"/>
        </w:numPr>
        <w:ind w:left="426" w:hanging="426"/>
        <w:jc w:val="both"/>
        <w:rPr>
          <w:rFonts w:ascii="Times New Roman" w:hAnsi="Times New Roman" w:cs="Times New Roman"/>
          <w:lang w:eastAsia="et-EE"/>
        </w:rPr>
      </w:pPr>
      <w:r w:rsidRPr="00BE3E7A">
        <w:rPr>
          <w:rFonts w:ascii="Times New Roman" w:hAnsi="Times New Roman" w:cs="Times New Roman"/>
        </w:rPr>
        <w:t xml:space="preserve">Käskkirja </w:t>
      </w:r>
      <w:r w:rsidRPr="00BE3E7A">
        <w:rPr>
          <w:rFonts w:ascii="Times New Roman" w:hAnsi="Times New Roman" w:cs="Times New Roman"/>
          <w:lang w:eastAsia="et-EE"/>
        </w:rPr>
        <w:t xml:space="preserve">eelnõu </w:t>
      </w:r>
      <w:r w:rsidRPr="00BE3E7A">
        <w:rPr>
          <w:rFonts w:ascii="Times New Roman" w:hAnsi="Times New Roman" w:cs="Times New Roman"/>
        </w:rPr>
        <w:t xml:space="preserve">kooskõlastamisel Rahandusministeeriumi, </w:t>
      </w:r>
      <w:r w:rsidRPr="00BE3E7A">
        <w:rPr>
          <w:rFonts w:ascii="Times New Roman" w:hAnsi="Times New Roman" w:cs="Times New Roman"/>
          <w:lang w:eastAsia="et-EE"/>
        </w:rPr>
        <w:t>korraldusasutuse ning  rakendusasutustega,</w:t>
      </w:r>
      <w:r w:rsidRPr="00BE3E7A">
        <w:rPr>
          <w:rFonts w:ascii="Times New Roman" w:hAnsi="Times New Roman" w:cs="Times New Roman"/>
        </w:rPr>
        <w:t xml:space="preserve"> kirjeldatakse seletuskirjas, kuidas toetatavad tegevused on vastavuses rakenduskava seirekomisjonis kinnitatud vastavus- ja valikukriteeriumidega. </w:t>
      </w:r>
    </w:p>
    <w:p w14:paraId="7CD26397" w14:textId="77777777" w:rsidR="00255594" w:rsidRPr="00BE3E7A" w:rsidRDefault="00255594" w:rsidP="00255594">
      <w:pPr>
        <w:pStyle w:val="Default"/>
        <w:numPr>
          <w:ilvl w:val="1"/>
          <w:numId w:val="6"/>
        </w:numPr>
        <w:ind w:left="426" w:hanging="426"/>
        <w:jc w:val="both"/>
        <w:rPr>
          <w:rFonts w:ascii="Times New Roman" w:hAnsi="Times New Roman" w:cs="Times New Roman"/>
          <w:lang w:eastAsia="et-EE"/>
        </w:rPr>
      </w:pPr>
      <w:r w:rsidRPr="00BE3E7A">
        <w:rPr>
          <w:rFonts w:ascii="Times New Roman" w:hAnsi="Times New Roman" w:cs="Times New Roman"/>
        </w:rPr>
        <w:lastRenderedPageBreak/>
        <w:t>Juhul kui käskkirjas nimetatud tegevuste elluviimiseks antakse toetust edasi lõppsaajatele, rakendatakse ühte punktis 1 kirjeldatud avatud taotlemise valikumetoodikatest.</w:t>
      </w:r>
    </w:p>
    <w:p w14:paraId="2E438241" w14:textId="77777777" w:rsidR="00255594" w:rsidRPr="00BE3E7A" w:rsidRDefault="00255594" w:rsidP="00255594">
      <w:pPr>
        <w:pStyle w:val="Default"/>
        <w:jc w:val="both"/>
        <w:rPr>
          <w:rFonts w:ascii="Times New Roman" w:hAnsi="Times New Roman" w:cs="Times New Roman"/>
          <w:lang w:eastAsia="et-EE"/>
        </w:rPr>
      </w:pPr>
    </w:p>
    <w:p w14:paraId="6EE8CEC1" w14:textId="77777777" w:rsidR="00255594" w:rsidRPr="00BE3E7A" w:rsidRDefault="00255594" w:rsidP="00255594">
      <w:pPr>
        <w:numPr>
          <w:ilvl w:val="0"/>
          <w:numId w:val="6"/>
        </w:numPr>
        <w:spacing w:after="0" w:line="240" w:lineRule="auto"/>
        <w:jc w:val="both"/>
        <w:rPr>
          <w:rFonts w:ascii="Times New Roman" w:hAnsi="Times New Roman"/>
          <w:b/>
          <w:sz w:val="24"/>
          <w:szCs w:val="24"/>
        </w:rPr>
      </w:pPr>
      <w:r w:rsidRPr="00BE3E7A">
        <w:rPr>
          <w:rFonts w:ascii="Times New Roman" w:hAnsi="Times New Roman"/>
          <w:b/>
          <w:sz w:val="24"/>
          <w:szCs w:val="24"/>
        </w:rPr>
        <w:t xml:space="preserve">Rahastamisvahendi kaudu toetuse andmine </w:t>
      </w:r>
    </w:p>
    <w:p w14:paraId="7450A577" w14:textId="77777777" w:rsidR="00255594" w:rsidRPr="00BE3E7A" w:rsidRDefault="00255594" w:rsidP="00255594">
      <w:pPr>
        <w:spacing w:after="0" w:line="240" w:lineRule="auto"/>
        <w:ind w:left="426"/>
        <w:jc w:val="both"/>
        <w:rPr>
          <w:rFonts w:ascii="Times New Roman" w:hAnsi="Times New Roman"/>
          <w:sz w:val="24"/>
          <w:szCs w:val="24"/>
        </w:rPr>
      </w:pPr>
      <w:r w:rsidRPr="00BE3E7A">
        <w:rPr>
          <w:rFonts w:ascii="Times New Roman" w:hAnsi="Times New Roman"/>
          <w:sz w:val="24"/>
          <w:szCs w:val="24"/>
        </w:rPr>
        <w:t>Rahastamisvahendi rahastamislepingu või rahastamiskäskkirja eelnõu kooskõlastamisel Rahandusministeeriumi, korraldusasutuse ja rakendusasutustega vastavalt „Perioodi 2021-2027 Euroopa Liidu ühtekuuluvus- ja siseturvalisuspoliitika fondide rakendamise seadusele“, veendutakse, et toetatavad tegevused on vastavuses rakenduskava seirekomisjonis kinnitatud valikukriteeriumitega.</w:t>
      </w:r>
    </w:p>
    <w:p w14:paraId="54E8C109" w14:textId="77777777" w:rsidR="00255594" w:rsidRPr="00BE3E7A" w:rsidRDefault="00255594" w:rsidP="00255594">
      <w:pPr>
        <w:spacing w:after="0" w:line="240" w:lineRule="auto"/>
        <w:ind w:left="360"/>
        <w:jc w:val="both"/>
        <w:rPr>
          <w:rFonts w:ascii="Times New Roman" w:hAnsi="Times New Roman"/>
          <w:sz w:val="24"/>
          <w:szCs w:val="24"/>
        </w:rPr>
      </w:pPr>
    </w:p>
    <w:p w14:paraId="00426B63" w14:textId="77777777" w:rsidR="00255594" w:rsidRPr="00BE3E7A" w:rsidRDefault="00255594" w:rsidP="00255594">
      <w:pPr>
        <w:numPr>
          <w:ilvl w:val="0"/>
          <w:numId w:val="6"/>
        </w:numPr>
        <w:spacing w:after="0" w:line="240" w:lineRule="auto"/>
        <w:jc w:val="both"/>
        <w:rPr>
          <w:rFonts w:ascii="Times New Roman" w:hAnsi="Times New Roman"/>
          <w:b/>
          <w:sz w:val="24"/>
          <w:szCs w:val="24"/>
        </w:rPr>
      </w:pPr>
      <w:r w:rsidRPr="00BE3E7A">
        <w:rPr>
          <w:rFonts w:ascii="Times New Roman" w:hAnsi="Times New Roman"/>
          <w:b/>
          <w:sz w:val="24"/>
          <w:szCs w:val="24"/>
        </w:rPr>
        <w:t xml:space="preserve">Toetuse andmine tehnilise abi raames </w:t>
      </w:r>
    </w:p>
    <w:p w14:paraId="0F1E64C6" w14:textId="77777777" w:rsidR="00255594" w:rsidRPr="00BE3E7A" w:rsidRDefault="00255594" w:rsidP="00255594">
      <w:pPr>
        <w:spacing w:after="0" w:line="240" w:lineRule="auto"/>
        <w:ind w:left="426"/>
        <w:jc w:val="both"/>
        <w:rPr>
          <w:rFonts w:ascii="Times New Roman" w:hAnsi="Times New Roman"/>
          <w:sz w:val="24"/>
          <w:szCs w:val="24"/>
        </w:rPr>
      </w:pPr>
      <w:r w:rsidRPr="00BE3E7A">
        <w:rPr>
          <w:rFonts w:ascii="Times New Roman" w:hAnsi="Times New Roman"/>
          <w:sz w:val="24"/>
          <w:szCs w:val="24"/>
        </w:rPr>
        <w:t xml:space="preserve">Rahastamine tehnilise abi raames ning selle otstarve on detailselt määratletud Euroopa Parlamendi ja nõukogu määruse (EL) nr 2021/1060 artiklites 35-37. Vahendeid saab kasutada ainult struktuurivahendite rakenduskava elluviimisega seotud kulude katmiseks -  Rahandusministeeriumi, korraldusasutuse, auditeeriva asutuse, rakendusasutuste ja rakendusüksuste ning partnerite kulude hüvitamiseks, mistõttu ei ole võimalik teha valikut toetuse saajate ja projektide vahel ning valikumetoodikat ei kohaldata. </w:t>
      </w:r>
    </w:p>
    <w:p w14:paraId="1C0CAF10" w14:textId="77777777" w:rsidR="00255594" w:rsidRPr="00BE3E7A" w:rsidRDefault="00255594" w:rsidP="00255594">
      <w:pPr>
        <w:spacing w:after="0" w:line="240" w:lineRule="auto"/>
        <w:ind w:left="426"/>
        <w:jc w:val="both"/>
        <w:rPr>
          <w:rFonts w:ascii="Times New Roman" w:hAnsi="Times New Roman"/>
          <w:sz w:val="24"/>
          <w:szCs w:val="24"/>
        </w:rPr>
      </w:pPr>
    </w:p>
    <w:p w14:paraId="2DA4C453" w14:textId="77777777" w:rsidR="00255594" w:rsidRPr="00BE3E7A" w:rsidRDefault="00255594" w:rsidP="00255594">
      <w:pPr>
        <w:pStyle w:val="Loendilik"/>
        <w:ind w:left="426" w:hanging="426"/>
        <w:rPr>
          <w:rFonts w:ascii="Times New Roman" w:hAnsi="Times New Roman"/>
          <w:b/>
          <w:bCs/>
          <w:sz w:val="24"/>
          <w:szCs w:val="24"/>
        </w:rPr>
      </w:pPr>
      <w:r w:rsidRPr="00BE3E7A">
        <w:rPr>
          <w:rFonts w:ascii="Times New Roman" w:hAnsi="Times New Roman"/>
          <w:b/>
          <w:bCs/>
          <w:sz w:val="24"/>
          <w:szCs w:val="24"/>
        </w:rPr>
        <w:t xml:space="preserve">6. </w:t>
      </w:r>
      <w:r w:rsidRPr="00BE3E7A">
        <w:rPr>
          <w:rFonts w:ascii="Times New Roman" w:hAnsi="Times New Roman"/>
          <w:b/>
          <w:bCs/>
          <w:sz w:val="24"/>
          <w:szCs w:val="24"/>
        </w:rPr>
        <w:tab/>
        <w:t>Toetuse andmine territoriaalse strateegia tegevuskava alusel</w:t>
      </w:r>
    </w:p>
    <w:p w14:paraId="250C6318" w14:textId="77777777" w:rsidR="00255594" w:rsidRPr="00BE3E7A" w:rsidRDefault="00255594" w:rsidP="00255594">
      <w:pPr>
        <w:pStyle w:val="Loendilik"/>
        <w:spacing w:line="240" w:lineRule="auto"/>
        <w:ind w:left="425"/>
        <w:jc w:val="both"/>
        <w:rPr>
          <w:rFonts w:ascii="Times New Roman" w:hAnsi="Times New Roman"/>
          <w:sz w:val="24"/>
          <w:szCs w:val="24"/>
        </w:rPr>
      </w:pPr>
      <w:r w:rsidRPr="00BE3E7A">
        <w:rPr>
          <w:rFonts w:ascii="Times New Roman" w:hAnsi="Times New Roman"/>
          <w:sz w:val="24"/>
          <w:szCs w:val="24"/>
        </w:rPr>
        <w:t>Ettepanekute hindamisel Euroopa Parlamendi ja nõukogu määruse (EL) nr 2021/1060 artiklis 29 nimetatud territoriaalsete strateegiate tegevuskavade koostamiseks rakendatakse ühte punktis 1 kirjeldatud avatud taotlemise valikumetoodikatest. Territoriaalses tegevuskavas oleva projekti kohta esitatakse taotlus, mille juures kontrollitakse vastavust territoriaalsele tegevuskavale, toetuse andmise tingimustes sätestatud taotleja, partneri ja taotluse nõuetele - taotlusi ei hinnata uuesti projektivaliku tegemise eesmärgil, kuna valikukriteeriumite kohane projektivalik on tehtud territoriaalse tegevuskava kinnitamisega.</w:t>
      </w:r>
    </w:p>
    <w:p w14:paraId="6742595F" w14:textId="77777777" w:rsidR="00255594" w:rsidRPr="00BE3E7A" w:rsidRDefault="00255594" w:rsidP="00255594">
      <w:pPr>
        <w:spacing w:after="0" w:line="240" w:lineRule="auto"/>
        <w:ind w:left="426"/>
        <w:jc w:val="both"/>
        <w:rPr>
          <w:rFonts w:ascii="Times New Roman" w:hAnsi="Times New Roman"/>
          <w:sz w:val="24"/>
          <w:szCs w:val="24"/>
        </w:rPr>
      </w:pPr>
    </w:p>
    <w:p w14:paraId="776B808D" w14:textId="77777777" w:rsidR="00255594" w:rsidRPr="00BE3E7A" w:rsidRDefault="00255594" w:rsidP="00255594">
      <w:pPr>
        <w:pStyle w:val="Loendilik"/>
        <w:rPr>
          <w:rFonts w:ascii="Times New Roman" w:hAnsi="Times New Roman"/>
          <w:sz w:val="24"/>
          <w:szCs w:val="24"/>
        </w:rPr>
      </w:pPr>
    </w:p>
    <w:p w14:paraId="0D7B381C" w14:textId="77777777" w:rsidR="00255594" w:rsidRDefault="00255594">
      <w:pPr>
        <w:jc w:val="both"/>
        <w:rPr>
          <w:rFonts w:ascii="Times New Roman" w:eastAsia="Times New Roman" w:hAnsi="Times New Roman" w:cs="Times New Roman"/>
          <w:b/>
          <w:sz w:val="24"/>
          <w:szCs w:val="24"/>
        </w:rPr>
      </w:pPr>
    </w:p>
    <w:sectPr w:rsidR="00255594" w:rsidSect="00270919">
      <w:headerReference w:type="default" r:id="rId11"/>
      <w:footerReference w:type="default" r:id="rId12"/>
      <w:headerReference w:type="first" r:id="rId13"/>
      <w:pgSz w:w="11906" w:h="16838"/>
      <w:pgMar w:top="1418" w:right="1418" w:bottom="1134" w:left="1418" w:header="709" w:footer="28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6213" w14:textId="77777777" w:rsidR="00D51312" w:rsidRDefault="00AE241A">
      <w:pPr>
        <w:spacing w:after="0" w:line="240" w:lineRule="auto"/>
      </w:pPr>
      <w:r>
        <w:separator/>
      </w:r>
    </w:p>
  </w:endnote>
  <w:endnote w:type="continuationSeparator" w:id="0">
    <w:p w14:paraId="3A6AF53D" w14:textId="77777777" w:rsidR="00D51312" w:rsidRDefault="00AE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Palatino Linotype"/>
    <w:panose1 w:val="02040503050406030204"/>
    <w:charset w:val="BA"/>
    <w:family w:val="roman"/>
    <w:pitch w:val="variable"/>
    <w:sig w:usb0="E00006FF" w:usb1="420024FF" w:usb2="02000000" w:usb3="00000000" w:csb0="0000019F" w:csb1="00000000"/>
  </w:font>
  <w:font w:name="Calibri">
    <w:altName w:val="Century Gothic"/>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3BA7" w14:textId="77777777" w:rsidR="002B7C76" w:rsidRDefault="00AE241A">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41127">
      <w:rPr>
        <w:noProof/>
        <w:color w:val="000000"/>
      </w:rPr>
      <w:t>1</w:t>
    </w:r>
    <w:r>
      <w:rPr>
        <w:color w:val="000000"/>
      </w:rPr>
      <w:fldChar w:fldCharType="end"/>
    </w:r>
  </w:p>
  <w:p w14:paraId="3EB34B9C" w14:textId="77777777" w:rsidR="002B7C76" w:rsidRDefault="002B7C7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073C" w14:textId="77777777" w:rsidR="00D51312" w:rsidRDefault="00AE241A">
      <w:pPr>
        <w:spacing w:after="0" w:line="240" w:lineRule="auto"/>
      </w:pPr>
      <w:r>
        <w:separator/>
      </w:r>
    </w:p>
  </w:footnote>
  <w:footnote w:type="continuationSeparator" w:id="0">
    <w:p w14:paraId="7454181C" w14:textId="77777777" w:rsidR="00D51312" w:rsidRDefault="00AE241A">
      <w:pPr>
        <w:spacing w:after="0" w:line="240" w:lineRule="auto"/>
      </w:pPr>
      <w:r>
        <w:continuationSeparator/>
      </w:r>
    </w:p>
  </w:footnote>
  <w:footnote w:id="1">
    <w:p w14:paraId="1A710EAC" w14:textId="5561C2D9"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Euroopa Parlamendi ja nõukogu määrus (EL) 2021/1060, 24. juuni 2021, millega kehtestatakse </w:t>
      </w:r>
      <w:proofErr w:type="spellStart"/>
      <w:r>
        <w:rPr>
          <w:rFonts w:ascii="Times New Roman" w:eastAsia="Times New Roman" w:hAnsi="Times New Roman" w:cs="Times New Roman"/>
          <w:color w:val="000000"/>
          <w:sz w:val="20"/>
          <w:szCs w:val="20"/>
        </w:rPr>
        <w:t>ühissätted</w:t>
      </w:r>
      <w:proofErr w:type="spellEnd"/>
      <w:r>
        <w:rPr>
          <w:rFonts w:ascii="Times New Roman" w:eastAsia="Times New Roman" w:hAnsi="Times New Roman" w:cs="Times New Roman"/>
          <w:color w:val="000000"/>
          <w:sz w:val="20"/>
          <w:szCs w:val="20"/>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w:t>
      </w:r>
      <w:r w:rsidR="007743E0">
        <w:rPr>
          <w:rFonts w:ascii="Times New Roman" w:eastAsia="Times New Roman" w:hAnsi="Times New Roman" w:cs="Times New Roman"/>
          <w:color w:val="000000"/>
          <w:sz w:val="20"/>
          <w:szCs w:val="20"/>
        </w:rPr>
        <w:t>ELT</w:t>
      </w:r>
      <w:r>
        <w:rPr>
          <w:rFonts w:ascii="Times New Roman" w:eastAsia="Times New Roman" w:hAnsi="Times New Roman" w:cs="Times New Roman"/>
          <w:color w:val="000000"/>
          <w:sz w:val="20"/>
          <w:szCs w:val="20"/>
        </w:rPr>
        <w:t xml:space="preserve"> L 231, 30.6.2021, lk. 159–706)</w:t>
      </w:r>
    </w:p>
  </w:footnote>
  <w:footnote w:id="2">
    <w:p w14:paraId="7E4CA683" w14:textId="77777777"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Taotlejale kohalduvad nõuded kehtivad ka elluviijale.</w:t>
      </w:r>
    </w:p>
  </w:footnote>
  <w:footnote w:id="3">
    <w:p w14:paraId="5D9CDB1C" w14:textId="77777777"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Euroopa Parlamendi ja nõukogu direktiiv 2011/92/EL, 13. detsember 2011 , teatavate riiklike ja eraprojektide keskkonnamõju hindamise kohta </w:t>
      </w:r>
      <w:proofErr w:type="spellStart"/>
      <w:r>
        <w:rPr>
          <w:rFonts w:ascii="Times New Roman" w:eastAsia="Times New Roman" w:hAnsi="Times New Roman" w:cs="Times New Roman"/>
          <w:color w:val="000000"/>
          <w:sz w:val="20"/>
          <w:szCs w:val="20"/>
        </w:rPr>
        <w:t>EMPs</w:t>
      </w:r>
      <w:proofErr w:type="spellEnd"/>
      <w:r>
        <w:rPr>
          <w:rFonts w:ascii="Times New Roman" w:eastAsia="Times New Roman" w:hAnsi="Times New Roman" w:cs="Times New Roman"/>
          <w:color w:val="000000"/>
          <w:sz w:val="20"/>
          <w:szCs w:val="20"/>
        </w:rPr>
        <w:t xml:space="preserve"> kohaldatav tekst (OJ L 26, 28.1.2012, lk. 1–21)</w:t>
      </w:r>
    </w:p>
  </w:footnote>
  <w:footnote w:id="4">
    <w:p w14:paraId="658EB42F" w14:textId="652CEA3A"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kliimakindluse tagamine on protsess, mille eesmärk on vältida taristu vastuvõtlikkust võimalikele pikaajalistele kliimamõjudele, tagades samas, et järgitakse energiatõhususe esikohale seadmise põhimõtet ja et projektist tulenevate kasvuhoonegaaside heitkoguste tase on kooskõlas 2050. aastaks saavutatava kliimaneutraalsuse eesmärgiga</w:t>
      </w:r>
      <w:r w:rsidR="007743E0">
        <w:rPr>
          <w:rFonts w:ascii="Times New Roman" w:eastAsia="Times New Roman" w:hAnsi="Times New Roman" w:cs="Times New Roman"/>
          <w:color w:val="000000"/>
          <w:sz w:val="20"/>
          <w:szCs w:val="20"/>
        </w:rPr>
        <w:t>.</w:t>
      </w:r>
    </w:p>
  </w:footnote>
  <w:footnote w:id="5">
    <w:p w14:paraId="2EA3684F" w14:textId="77777777"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Suunistes on muuhulgas defineeritud taristu mõiste ning kirjeldatud kuidas integreerida kliimakindluse tagamise protsess projekti arendustsüklisse või kuidas lahendada olukorda kui KMH on juba lõpule viidud või kui KMH ei ole vajalik</w:t>
      </w:r>
    </w:p>
  </w:footnote>
  <w:footnote w:id="6">
    <w:p w14:paraId="1BB583D1" w14:textId="2B7705D0" w:rsidR="007743E0" w:rsidRDefault="007743E0">
      <w:pPr>
        <w:pStyle w:val="Allmrkusetekst"/>
      </w:pPr>
      <w:r>
        <w:rPr>
          <w:rStyle w:val="Allmrkuseviide"/>
        </w:rPr>
        <w:footnoteRef/>
      </w:r>
      <w:r>
        <w:t xml:space="preserve"> </w:t>
      </w:r>
      <w:r w:rsidRPr="007743E0">
        <w:t>Euroopa Komisjoni teatis 2021/C 373/01 „Taristu kliimakindluse tagamise tehnilised suunised aastateks 2021–2027“(ELT C 373, 16.9.2021, lk. 1–92)</w:t>
      </w:r>
    </w:p>
  </w:footnote>
  <w:footnote w:id="7">
    <w:p w14:paraId="4DE5747E" w14:textId="227CDEAB"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Euroopa Liidu põhiõiguste harta (2012/C 326/02)</w:t>
      </w:r>
    </w:p>
  </w:footnote>
  <w:footnote w:id="8">
    <w:p w14:paraId="76B2DEC9" w14:textId="77777777"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ÜSM-i Art 9 p 4 kohaselt on kestliku arengu eesmärkideks ELi toimimise lepingu artiklis 11 sätestatud kestliku arengu edendamise eesmärgid, ÜRO kestliku arengu eesmärgid ja Pariisi kokkulepe.</w:t>
      </w:r>
    </w:p>
  </w:footnote>
  <w:footnote w:id="9">
    <w:p w14:paraId="4719BD21" w14:textId="77777777" w:rsidR="002B7C76" w:rsidRDefault="00AE24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Meetmete tasandil on keskkonnariskid ja nende leevendusmeetmed toodud „Perioodi 2021-2027 Euroopa Liidu ühtekuuluvuspoliitika fondide rakenduskava DNSH analüüsis“ ja  keskkonnamõju strateegilise hindamise aruandes: https://www.rtk.ee/hindamine#keskkonnamoju-2021-2027 .</w:t>
      </w:r>
    </w:p>
  </w:footnote>
  <w:footnote w:id="10">
    <w:p w14:paraId="6F8837F9" w14:textId="77777777" w:rsidR="007743E0" w:rsidRDefault="007743E0" w:rsidP="007743E0">
      <w:pPr>
        <w:pStyle w:val="Allmrkusetekst"/>
      </w:pPr>
      <w:r>
        <w:rPr>
          <w:rStyle w:val="Allmrkuseviide"/>
        </w:rPr>
        <w:footnoteRef/>
      </w:r>
      <w:r>
        <w:t xml:space="preserve"> </w:t>
      </w:r>
      <w:r w:rsidRPr="002834C8">
        <w:t>Euroopa Komisjoni teatis 2021/C 58/01 „Tehnilised suunised põhimõtte „ei kahjusta oluliselt“ kohaldamise kohta taaste- ja vastupidavusrahastu puhul“</w:t>
      </w:r>
      <w:r>
        <w:t xml:space="preserve"> (</w:t>
      </w:r>
      <w:r w:rsidRPr="002834C8">
        <w:t>ELT C 58, 18.2.2021, lk. 1–30</w:t>
      </w:r>
      <w:r>
        <w:t>)</w:t>
      </w:r>
      <w:r w:rsidRPr="002834C8">
        <w:t xml:space="preserve">   </w:t>
      </w:r>
    </w:p>
  </w:footnote>
  <w:footnote w:id="11">
    <w:p w14:paraId="1E5D006B" w14:textId="78629E2B" w:rsidR="002F3F71" w:rsidRPr="00322735" w:rsidRDefault="002F3F71">
      <w:pPr>
        <w:pStyle w:val="Allmrkusetekst"/>
      </w:pPr>
      <w:r w:rsidRPr="00322735">
        <w:rPr>
          <w:rStyle w:val="Allmrkuseviide"/>
        </w:rPr>
        <w:footnoteRef/>
      </w:r>
      <w:r w:rsidRPr="00322735">
        <w:t xml:space="preserve"> Meetmete all peetakse silmas tegevuspõhise riigieelarve</w:t>
      </w:r>
      <w:r w:rsidR="00F93C22" w:rsidRPr="00322735">
        <w:t xml:space="preserve"> (TERE)</w:t>
      </w:r>
      <w:r w:rsidRPr="00322735">
        <w:t xml:space="preserve"> meetmeid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FAA1" w14:textId="77777777" w:rsidR="002B7C76" w:rsidRDefault="002B7C7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BD0B" w14:textId="77777777" w:rsidR="00270919" w:rsidRPr="00BE0B9B" w:rsidRDefault="00270919" w:rsidP="00270919">
    <w:pPr>
      <w:tabs>
        <w:tab w:val="center" w:pos="4513"/>
        <w:tab w:val="right" w:pos="8666"/>
      </w:tabs>
      <w:spacing w:after="0" w:line="240" w:lineRule="auto"/>
      <w:ind w:right="-57"/>
      <w:jc w:val="right"/>
      <w:rPr>
        <w:rFonts w:ascii="Times New Roman" w:hAnsi="Times New Roman" w:cs="Times New Roman"/>
        <w:sz w:val="20"/>
      </w:rPr>
    </w:pPr>
    <w:r w:rsidRPr="00BE0B9B">
      <w:rPr>
        <w:rFonts w:ascii="Times New Roman" w:hAnsi="Times New Roman" w:cs="Times New Roman"/>
        <w:sz w:val="20"/>
      </w:rPr>
      <w:t xml:space="preserve">Kinnitatud Ühtekuuluvuspoliitika Fondide 2021-2027 rakenduskava </w:t>
    </w:r>
  </w:p>
  <w:p w14:paraId="75222AB5" w14:textId="77777777" w:rsidR="00270919" w:rsidRPr="00BE0B9B" w:rsidRDefault="00270919" w:rsidP="00270919">
    <w:pPr>
      <w:tabs>
        <w:tab w:val="center" w:pos="4513"/>
        <w:tab w:val="right" w:pos="8666"/>
      </w:tabs>
      <w:spacing w:after="0" w:line="240" w:lineRule="auto"/>
      <w:ind w:right="-57"/>
      <w:jc w:val="right"/>
      <w:rPr>
        <w:rFonts w:ascii="Times New Roman" w:hAnsi="Times New Roman" w:cs="Times New Roman"/>
        <w:sz w:val="20"/>
      </w:rPr>
    </w:pPr>
    <w:r w:rsidRPr="00BE0B9B">
      <w:rPr>
        <w:rFonts w:ascii="Times New Roman" w:hAnsi="Times New Roman" w:cs="Times New Roman"/>
        <w:sz w:val="20"/>
      </w:rPr>
      <w:t>seirekomisjoni poolt 31.05.2022, muudetud 12.04.2023</w:t>
    </w:r>
  </w:p>
  <w:p w14:paraId="113C87DD" w14:textId="77777777" w:rsidR="00270919" w:rsidRDefault="0027091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5F6"/>
    <w:multiLevelType w:val="multilevel"/>
    <w:tmpl w:val="55E6E42C"/>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5B529BF"/>
    <w:multiLevelType w:val="hybridMultilevel"/>
    <w:tmpl w:val="CF3CA964"/>
    <w:lvl w:ilvl="0" w:tplc="471A0024">
      <w:start w:val="1"/>
      <w:numFmt w:val="decimal"/>
      <w:lvlText w:val="%1."/>
      <w:lvlJc w:val="left"/>
      <w:pPr>
        <w:ind w:left="720" w:hanging="360"/>
      </w:pPr>
      <w:rPr>
        <w:rFonts w:ascii="Cambria" w:eastAsia="Calibri" w:hAnsi="Cambria" w:cs="Times New Roman"/>
      </w:rPr>
    </w:lvl>
    <w:lvl w:ilvl="1" w:tplc="DEB8FA06">
      <w:start w:val="1"/>
      <w:numFmt w:val="lowerLetter"/>
      <w:lvlText w:val="%2)"/>
      <w:lvlJc w:val="left"/>
      <w:pPr>
        <w:ind w:left="1440" w:hanging="360"/>
      </w:pPr>
      <w:rPr>
        <w:rFonts w:ascii="Cambria" w:eastAsia="Calibri" w:hAnsi="Cambria" w:cs="EUAlbertina"/>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7CF300C"/>
    <w:multiLevelType w:val="hybridMultilevel"/>
    <w:tmpl w:val="47865F10"/>
    <w:lvl w:ilvl="0" w:tplc="640A4AB2">
      <w:start w:val="1"/>
      <w:numFmt w:val="lowerLetter"/>
      <w:lvlText w:val="%1)"/>
      <w:lvlJc w:val="left"/>
      <w:pPr>
        <w:ind w:left="2025" w:hanging="360"/>
      </w:pPr>
      <w:rPr>
        <w:rFonts w:ascii="Cambria" w:eastAsia="Times New Roman" w:hAnsi="Cambria" w:cs="Times New Roman"/>
      </w:rPr>
    </w:lvl>
    <w:lvl w:ilvl="1" w:tplc="04250019" w:tentative="1">
      <w:start w:val="1"/>
      <w:numFmt w:val="lowerLetter"/>
      <w:lvlText w:val="%2."/>
      <w:lvlJc w:val="left"/>
      <w:pPr>
        <w:ind w:left="2745" w:hanging="360"/>
      </w:pPr>
    </w:lvl>
    <w:lvl w:ilvl="2" w:tplc="0425001B">
      <w:start w:val="1"/>
      <w:numFmt w:val="lowerRoman"/>
      <w:lvlText w:val="%3."/>
      <w:lvlJc w:val="right"/>
      <w:pPr>
        <w:ind w:left="3465" w:hanging="180"/>
      </w:pPr>
    </w:lvl>
    <w:lvl w:ilvl="3" w:tplc="0425000F" w:tentative="1">
      <w:start w:val="1"/>
      <w:numFmt w:val="decimal"/>
      <w:lvlText w:val="%4."/>
      <w:lvlJc w:val="left"/>
      <w:pPr>
        <w:ind w:left="4185" w:hanging="360"/>
      </w:pPr>
    </w:lvl>
    <w:lvl w:ilvl="4" w:tplc="04250019" w:tentative="1">
      <w:start w:val="1"/>
      <w:numFmt w:val="lowerLetter"/>
      <w:lvlText w:val="%5."/>
      <w:lvlJc w:val="left"/>
      <w:pPr>
        <w:ind w:left="4905" w:hanging="360"/>
      </w:pPr>
    </w:lvl>
    <w:lvl w:ilvl="5" w:tplc="0425001B" w:tentative="1">
      <w:start w:val="1"/>
      <w:numFmt w:val="lowerRoman"/>
      <w:lvlText w:val="%6."/>
      <w:lvlJc w:val="right"/>
      <w:pPr>
        <w:ind w:left="5625" w:hanging="180"/>
      </w:pPr>
    </w:lvl>
    <w:lvl w:ilvl="6" w:tplc="0425000F" w:tentative="1">
      <w:start w:val="1"/>
      <w:numFmt w:val="decimal"/>
      <w:lvlText w:val="%7."/>
      <w:lvlJc w:val="left"/>
      <w:pPr>
        <w:ind w:left="6345" w:hanging="360"/>
      </w:pPr>
    </w:lvl>
    <w:lvl w:ilvl="7" w:tplc="04250019" w:tentative="1">
      <w:start w:val="1"/>
      <w:numFmt w:val="lowerLetter"/>
      <w:lvlText w:val="%8."/>
      <w:lvlJc w:val="left"/>
      <w:pPr>
        <w:ind w:left="7065" w:hanging="360"/>
      </w:pPr>
    </w:lvl>
    <w:lvl w:ilvl="8" w:tplc="0425001B" w:tentative="1">
      <w:start w:val="1"/>
      <w:numFmt w:val="lowerRoman"/>
      <w:lvlText w:val="%9."/>
      <w:lvlJc w:val="right"/>
      <w:pPr>
        <w:ind w:left="7785" w:hanging="180"/>
      </w:pPr>
    </w:lvl>
  </w:abstractNum>
  <w:abstractNum w:abstractNumId="3" w15:restartNumberingAfterBreak="0">
    <w:nsid w:val="087B10D6"/>
    <w:multiLevelType w:val="hybridMultilevel"/>
    <w:tmpl w:val="0DE68F66"/>
    <w:lvl w:ilvl="0" w:tplc="DEB8FA06">
      <w:start w:val="1"/>
      <w:numFmt w:val="lowerLetter"/>
      <w:lvlText w:val="%1)"/>
      <w:lvlJc w:val="left"/>
      <w:pPr>
        <w:ind w:left="1146" w:hanging="360"/>
      </w:pPr>
      <w:rPr>
        <w:rFonts w:ascii="Cambria" w:eastAsia="Calibri" w:hAnsi="Cambria" w:cs="EUAlbertina"/>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4" w15:restartNumberingAfterBreak="0">
    <w:nsid w:val="26FD7D1C"/>
    <w:multiLevelType w:val="hybridMultilevel"/>
    <w:tmpl w:val="0A804D0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170851"/>
    <w:multiLevelType w:val="multilevel"/>
    <w:tmpl w:val="8118E1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BD6B41"/>
    <w:multiLevelType w:val="multilevel"/>
    <w:tmpl w:val="BA8620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EB202F"/>
    <w:multiLevelType w:val="hybridMultilevel"/>
    <w:tmpl w:val="F51612F2"/>
    <w:lvl w:ilvl="0" w:tplc="97669CBA">
      <w:start w:val="1"/>
      <w:numFmt w:val="lowerLetter"/>
      <w:lvlText w:val="%1)"/>
      <w:lvlJc w:val="left"/>
      <w:pPr>
        <w:ind w:left="1296" w:hanging="87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8" w15:restartNumberingAfterBreak="0">
    <w:nsid w:val="6FCE0B04"/>
    <w:multiLevelType w:val="hybridMultilevel"/>
    <w:tmpl w:val="F3BE610A"/>
    <w:lvl w:ilvl="0" w:tplc="4642A78A">
      <w:start w:val="1"/>
      <w:numFmt w:val="decimal"/>
      <w:lvlText w:val="%1)"/>
      <w:lvlJc w:val="left"/>
      <w:pPr>
        <w:ind w:left="2490" w:hanging="360"/>
      </w:pPr>
      <w:rPr>
        <w:rFonts w:hint="default"/>
      </w:rPr>
    </w:lvl>
    <w:lvl w:ilvl="1" w:tplc="04250019">
      <w:start w:val="1"/>
      <w:numFmt w:val="lowerLetter"/>
      <w:lvlText w:val="%2."/>
      <w:lvlJc w:val="left"/>
      <w:pPr>
        <w:ind w:left="3210" w:hanging="360"/>
      </w:pPr>
    </w:lvl>
    <w:lvl w:ilvl="2" w:tplc="0425001B" w:tentative="1">
      <w:start w:val="1"/>
      <w:numFmt w:val="lowerRoman"/>
      <w:lvlText w:val="%3."/>
      <w:lvlJc w:val="right"/>
      <w:pPr>
        <w:ind w:left="3930" w:hanging="180"/>
      </w:pPr>
    </w:lvl>
    <w:lvl w:ilvl="3" w:tplc="0425000F" w:tentative="1">
      <w:start w:val="1"/>
      <w:numFmt w:val="decimal"/>
      <w:lvlText w:val="%4."/>
      <w:lvlJc w:val="left"/>
      <w:pPr>
        <w:ind w:left="4650" w:hanging="360"/>
      </w:pPr>
    </w:lvl>
    <w:lvl w:ilvl="4" w:tplc="04250019" w:tentative="1">
      <w:start w:val="1"/>
      <w:numFmt w:val="lowerLetter"/>
      <w:lvlText w:val="%5."/>
      <w:lvlJc w:val="left"/>
      <w:pPr>
        <w:ind w:left="5370" w:hanging="360"/>
      </w:pPr>
    </w:lvl>
    <w:lvl w:ilvl="5" w:tplc="0425001B" w:tentative="1">
      <w:start w:val="1"/>
      <w:numFmt w:val="lowerRoman"/>
      <w:lvlText w:val="%6."/>
      <w:lvlJc w:val="right"/>
      <w:pPr>
        <w:ind w:left="6090" w:hanging="180"/>
      </w:pPr>
    </w:lvl>
    <w:lvl w:ilvl="6" w:tplc="0425000F" w:tentative="1">
      <w:start w:val="1"/>
      <w:numFmt w:val="decimal"/>
      <w:lvlText w:val="%7."/>
      <w:lvlJc w:val="left"/>
      <w:pPr>
        <w:ind w:left="6810" w:hanging="360"/>
      </w:pPr>
    </w:lvl>
    <w:lvl w:ilvl="7" w:tplc="04250019" w:tentative="1">
      <w:start w:val="1"/>
      <w:numFmt w:val="lowerLetter"/>
      <w:lvlText w:val="%8."/>
      <w:lvlJc w:val="left"/>
      <w:pPr>
        <w:ind w:left="7530" w:hanging="360"/>
      </w:pPr>
    </w:lvl>
    <w:lvl w:ilvl="8" w:tplc="0425001B" w:tentative="1">
      <w:start w:val="1"/>
      <w:numFmt w:val="lowerRoman"/>
      <w:lvlText w:val="%9."/>
      <w:lvlJc w:val="right"/>
      <w:pPr>
        <w:ind w:left="8250" w:hanging="180"/>
      </w:pPr>
    </w:lvl>
  </w:abstractNum>
  <w:abstractNum w:abstractNumId="9" w15:restartNumberingAfterBreak="0">
    <w:nsid w:val="720B58A6"/>
    <w:multiLevelType w:val="hybridMultilevel"/>
    <w:tmpl w:val="59AEE992"/>
    <w:lvl w:ilvl="0" w:tplc="5E8E03AE">
      <w:start w:val="1"/>
      <w:numFmt w:val="decimal"/>
      <w:lvlText w:val="%1)"/>
      <w:lvlJc w:val="left"/>
      <w:pPr>
        <w:ind w:left="405" w:hanging="360"/>
      </w:pPr>
      <w:rPr>
        <w:rFonts w:hint="default"/>
      </w:rPr>
    </w:lvl>
    <w:lvl w:ilvl="1" w:tplc="04250019">
      <w:start w:val="1"/>
      <w:numFmt w:val="lowerLetter"/>
      <w:lvlText w:val="%2."/>
      <w:lvlJc w:val="left"/>
      <w:pPr>
        <w:ind w:left="1125" w:hanging="360"/>
      </w:pPr>
    </w:lvl>
    <w:lvl w:ilvl="2" w:tplc="448C3DAC">
      <w:start w:val="1"/>
      <w:numFmt w:val="lowerLetter"/>
      <w:lvlText w:val="%3)"/>
      <w:lvlJc w:val="right"/>
      <w:pPr>
        <w:ind w:left="1845" w:hanging="180"/>
      </w:pPr>
      <w:rPr>
        <w:rFonts w:ascii="Cambria" w:eastAsia="Times New Roman" w:hAnsi="Cambria" w:cs="Times New Roman"/>
      </w:rPr>
    </w:lvl>
    <w:lvl w:ilvl="3" w:tplc="0425000F">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10" w15:restartNumberingAfterBreak="0">
    <w:nsid w:val="746930F7"/>
    <w:multiLevelType w:val="multilevel"/>
    <w:tmpl w:val="7FF08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0"/>
  </w:num>
  <w:num w:numId="3">
    <w:abstractNumId w:val="5"/>
  </w:num>
  <w:num w:numId="4">
    <w:abstractNumId w:val="9"/>
  </w:num>
  <w:num w:numId="5">
    <w:abstractNumId w:val="1"/>
  </w:num>
  <w:num w:numId="6">
    <w:abstractNumId w:val="6"/>
  </w:num>
  <w:num w:numId="7">
    <w:abstractNumId w:val="2"/>
  </w:num>
  <w:num w:numId="8">
    <w:abstractNumId w:val="8"/>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76"/>
    <w:rsid w:val="00041127"/>
    <w:rsid w:val="0004554D"/>
    <w:rsid w:val="00076C6C"/>
    <w:rsid w:val="0013583A"/>
    <w:rsid w:val="001A5A38"/>
    <w:rsid w:val="00214B80"/>
    <w:rsid w:val="00255594"/>
    <w:rsid w:val="00270919"/>
    <w:rsid w:val="002B7C76"/>
    <w:rsid w:val="002F3F71"/>
    <w:rsid w:val="00322735"/>
    <w:rsid w:val="003728FD"/>
    <w:rsid w:val="004A13DA"/>
    <w:rsid w:val="004F2325"/>
    <w:rsid w:val="00545EFA"/>
    <w:rsid w:val="005505CD"/>
    <w:rsid w:val="005A5072"/>
    <w:rsid w:val="005B3ABC"/>
    <w:rsid w:val="005D63CA"/>
    <w:rsid w:val="00652082"/>
    <w:rsid w:val="00696CB2"/>
    <w:rsid w:val="006C0379"/>
    <w:rsid w:val="007743E0"/>
    <w:rsid w:val="00775CA0"/>
    <w:rsid w:val="008D7B7F"/>
    <w:rsid w:val="00980C33"/>
    <w:rsid w:val="009A08BD"/>
    <w:rsid w:val="009E6B5C"/>
    <w:rsid w:val="00A00951"/>
    <w:rsid w:val="00A114F1"/>
    <w:rsid w:val="00A4454B"/>
    <w:rsid w:val="00AB5023"/>
    <w:rsid w:val="00AB74AB"/>
    <w:rsid w:val="00AE241A"/>
    <w:rsid w:val="00B379E1"/>
    <w:rsid w:val="00BB6AE7"/>
    <w:rsid w:val="00BC0A41"/>
    <w:rsid w:val="00BE0B9B"/>
    <w:rsid w:val="00C84F0A"/>
    <w:rsid w:val="00D51312"/>
    <w:rsid w:val="00DB23AB"/>
    <w:rsid w:val="00DE7C0A"/>
    <w:rsid w:val="00E00B18"/>
    <w:rsid w:val="00E44CAC"/>
    <w:rsid w:val="00E91397"/>
    <w:rsid w:val="00E9422E"/>
    <w:rsid w:val="00EB235A"/>
    <w:rsid w:val="00EC6CA0"/>
    <w:rsid w:val="00EE4E07"/>
    <w:rsid w:val="00F25618"/>
    <w:rsid w:val="00F93C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D231B5"/>
  <w15:docId w15:val="{69597D07-B663-4738-9CED-A045DCF9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Allmrkusetekst">
    <w:name w:val="footnote text"/>
    <w:basedOn w:val="Normaallaad"/>
    <w:next w:val="Normaallaad"/>
    <w:link w:val="AllmrkusetekstMrk"/>
    <w:uiPriority w:val="99"/>
    <w:semiHidden/>
    <w:unhideWhenUsed/>
    <w:rsid w:val="007743E0"/>
    <w:pPr>
      <w:spacing w:after="0" w:line="240" w:lineRule="auto"/>
      <w:jc w:val="both"/>
    </w:pPr>
    <w:rPr>
      <w:rFonts w:ascii="Times New Roman" w:hAnsi="Times New Roman" w:cs="Times New Roman"/>
      <w:sz w:val="20"/>
      <w:szCs w:val="20"/>
      <w:lang w:bidi="et-EE"/>
    </w:rPr>
  </w:style>
  <w:style w:type="character" w:customStyle="1" w:styleId="AllmrkusetekstMrk">
    <w:name w:val="Allmärkuse tekst Märk"/>
    <w:basedOn w:val="Liguvaikefont"/>
    <w:link w:val="Allmrkusetekst"/>
    <w:uiPriority w:val="99"/>
    <w:semiHidden/>
    <w:rsid w:val="007743E0"/>
    <w:rPr>
      <w:rFonts w:ascii="Times New Roman" w:hAnsi="Times New Roman" w:cs="Times New Roman"/>
      <w:sz w:val="20"/>
      <w:szCs w:val="20"/>
      <w:lang w:bidi="et-EE"/>
    </w:rPr>
  </w:style>
  <w:style w:type="character" w:styleId="Allmrkuseviide">
    <w:name w:val="footnote reference"/>
    <w:uiPriority w:val="99"/>
    <w:semiHidden/>
    <w:unhideWhenUsed/>
    <w:rsid w:val="007743E0"/>
    <w:rPr>
      <w:shd w:val="clear" w:color="auto" w:fill="auto"/>
      <w:vertAlign w:val="superscript"/>
    </w:rPr>
  </w:style>
  <w:style w:type="character" w:styleId="Kommentaariviide">
    <w:name w:val="annotation reference"/>
    <w:basedOn w:val="Liguvaikefont"/>
    <w:uiPriority w:val="99"/>
    <w:unhideWhenUsed/>
    <w:rsid w:val="002F3F71"/>
    <w:rPr>
      <w:sz w:val="16"/>
      <w:szCs w:val="16"/>
    </w:rPr>
  </w:style>
  <w:style w:type="paragraph" w:styleId="Kommentaaritekst">
    <w:name w:val="annotation text"/>
    <w:basedOn w:val="Normaallaad"/>
    <w:link w:val="KommentaaritekstMrk"/>
    <w:uiPriority w:val="99"/>
    <w:unhideWhenUsed/>
    <w:rsid w:val="002F3F71"/>
    <w:pPr>
      <w:spacing w:line="240" w:lineRule="auto"/>
    </w:pPr>
    <w:rPr>
      <w:sz w:val="20"/>
      <w:szCs w:val="20"/>
    </w:rPr>
  </w:style>
  <w:style w:type="character" w:customStyle="1" w:styleId="KommentaaritekstMrk">
    <w:name w:val="Kommentaari tekst Märk"/>
    <w:basedOn w:val="Liguvaikefont"/>
    <w:link w:val="Kommentaaritekst"/>
    <w:uiPriority w:val="99"/>
    <w:rsid w:val="002F3F71"/>
    <w:rPr>
      <w:sz w:val="20"/>
      <w:szCs w:val="20"/>
    </w:rPr>
  </w:style>
  <w:style w:type="paragraph" w:styleId="Kommentaariteema">
    <w:name w:val="annotation subject"/>
    <w:basedOn w:val="Kommentaaritekst"/>
    <w:next w:val="Kommentaaritekst"/>
    <w:link w:val="KommentaariteemaMrk"/>
    <w:uiPriority w:val="99"/>
    <w:semiHidden/>
    <w:unhideWhenUsed/>
    <w:rsid w:val="002F3F71"/>
    <w:rPr>
      <w:b/>
      <w:bCs/>
    </w:rPr>
  </w:style>
  <w:style w:type="character" w:customStyle="1" w:styleId="KommentaariteemaMrk">
    <w:name w:val="Kommentaari teema Märk"/>
    <w:basedOn w:val="KommentaaritekstMrk"/>
    <w:link w:val="Kommentaariteema"/>
    <w:uiPriority w:val="99"/>
    <w:semiHidden/>
    <w:rsid w:val="002F3F71"/>
    <w:rPr>
      <w:b/>
      <w:bCs/>
      <w:sz w:val="20"/>
      <w:szCs w:val="20"/>
    </w:rPr>
  </w:style>
  <w:style w:type="paragraph" w:styleId="Pis">
    <w:name w:val="header"/>
    <w:basedOn w:val="Normaallaad"/>
    <w:link w:val="PisMrk"/>
    <w:uiPriority w:val="99"/>
    <w:unhideWhenUsed/>
    <w:rsid w:val="0013583A"/>
    <w:pPr>
      <w:tabs>
        <w:tab w:val="center" w:pos="4536"/>
        <w:tab w:val="right" w:pos="9072"/>
      </w:tabs>
      <w:spacing w:after="0" w:line="240" w:lineRule="auto"/>
    </w:pPr>
  </w:style>
  <w:style w:type="character" w:customStyle="1" w:styleId="PisMrk">
    <w:name w:val="Päis Märk"/>
    <w:basedOn w:val="Liguvaikefont"/>
    <w:link w:val="Pis"/>
    <w:uiPriority w:val="99"/>
    <w:rsid w:val="0013583A"/>
  </w:style>
  <w:style w:type="paragraph" w:styleId="Jalus">
    <w:name w:val="footer"/>
    <w:basedOn w:val="Normaallaad"/>
    <w:link w:val="JalusMrk"/>
    <w:uiPriority w:val="99"/>
    <w:unhideWhenUsed/>
    <w:rsid w:val="0013583A"/>
    <w:pPr>
      <w:tabs>
        <w:tab w:val="center" w:pos="4536"/>
        <w:tab w:val="right" w:pos="9072"/>
      </w:tabs>
      <w:spacing w:after="0" w:line="240" w:lineRule="auto"/>
    </w:pPr>
  </w:style>
  <w:style w:type="character" w:customStyle="1" w:styleId="JalusMrk">
    <w:name w:val="Jalus Märk"/>
    <w:basedOn w:val="Liguvaikefont"/>
    <w:link w:val="Jalus"/>
    <w:uiPriority w:val="99"/>
    <w:rsid w:val="0013583A"/>
  </w:style>
  <w:style w:type="paragraph" w:styleId="Vahedeta">
    <w:name w:val="No Spacing"/>
    <w:uiPriority w:val="1"/>
    <w:qFormat/>
    <w:rsid w:val="00255594"/>
    <w:pPr>
      <w:spacing w:after="0" w:line="240" w:lineRule="auto"/>
    </w:pPr>
    <w:rPr>
      <w:rFonts w:eastAsia="Times New Roman" w:cs="Times New Roman"/>
      <w:lang w:eastAsia="en-US"/>
    </w:rPr>
  </w:style>
  <w:style w:type="paragraph" w:customStyle="1" w:styleId="Default">
    <w:name w:val="Default"/>
    <w:rsid w:val="00255594"/>
    <w:pPr>
      <w:autoSpaceDE w:val="0"/>
      <w:autoSpaceDN w:val="0"/>
      <w:adjustRightInd w:val="0"/>
      <w:spacing w:after="0" w:line="240" w:lineRule="auto"/>
    </w:pPr>
    <w:rPr>
      <w:rFonts w:ascii="EUAlbertina" w:hAnsi="EUAlbertina" w:cs="EUAlbertina"/>
      <w:color w:val="000000"/>
      <w:sz w:val="24"/>
      <w:szCs w:val="24"/>
      <w:lang w:eastAsia="en-US"/>
    </w:rPr>
  </w:style>
  <w:style w:type="paragraph" w:customStyle="1" w:styleId="CM1">
    <w:name w:val="CM1"/>
    <w:basedOn w:val="Default"/>
    <w:next w:val="Default"/>
    <w:uiPriority w:val="99"/>
    <w:rsid w:val="00255594"/>
    <w:rPr>
      <w:rFonts w:cs="Times New Roman"/>
      <w:color w:val="auto"/>
      <w:lang w:eastAsia="et-EE"/>
    </w:rPr>
  </w:style>
  <w:style w:type="paragraph" w:styleId="Loendilik">
    <w:name w:val="List Paragraph"/>
    <w:basedOn w:val="Normaallaad"/>
    <w:uiPriority w:val="34"/>
    <w:qFormat/>
    <w:rsid w:val="00255594"/>
    <w:pPr>
      <w:ind w:left="720"/>
      <w:contextualSpacing/>
    </w:pPr>
    <w:rPr>
      <w:rFonts w:cs="Times New Roman"/>
      <w:lang w:eastAsia="en-US"/>
    </w:rPr>
  </w:style>
  <w:style w:type="character" w:styleId="Hperlink">
    <w:name w:val="Hyperlink"/>
    <w:uiPriority w:val="99"/>
    <w:unhideWhenUsed/>
    <w:rsid w:val="00255594"/>
    <w:rPr>
      <w:color w:val="0563C1"/>
      <w:u w:val="single"/>
    </w:rPr>
  </w:style>
  <w:style w:type="paragraph" w:styleId="Redaktsioon">
    <w:name w:val="Revision"/>
    <w:hidden/>
    <w:uiPriority w:val="99"/>
    <w:semiHidden/>
    <w:rsid w:val="00EB2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3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PDF/?uri=CELEX:32021R1060&amp;from=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ET/TXT/PDF/?uri=CELEX:32021R1060&amp;from=EN" TargetMode="External"/><Relationship Id="rId4" Type="http://schemas.openxmlformats.org/officeDocument/2006/relationships/settings" Target="settings.xml"/><Relationship Id="rId9" Type="http://schemas.openxmlformats.org/officeDocument/2006/relationships/hyperlink" Target="https://eur-lex.europa.eu/legal-content/ET/TXT/PDF/?uri=CELEX:12012P/TXT&amp;from=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E590-B47F-40DA-B9F4-67D88102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2745</Words>
  <Characters>15925</Characters>
  <Application>Microsoft Office Word</Application>
  <DocSecurity>0</DocSecurity>
  <Lines>132</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Kristel Lopsik</dc:creator>
  <cp:lastModifiedBy>Anu Altermann</cp:lastModifiedBy>
  <cp:revision>5</cp:revision>
  <cp:lastPrinted>2022-07-08T06:50:00Z</cp:lastPrinted>
  <dcterms:created xsi:type="dcterms:W3CDTF">2023-04-24T09:50:00Z</dcterms:created>
  <dcterms:modified xsi:type="dcterms:W3CDTF">2023-04-26T12:16:00Z</dcterms:modified>
</cp:coreProperties>
</file>