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7525" w14:textId="77777777" w:rsidR="001C499F" w:rsidRPr="001101A4" w:rsidRDefault="001C499F" w:rsidP="001C499F">
      <w:pPr>
        <w:rPr>
          <w:b/>
          <w:color w:val="1F497D"/>
          <w:sz w:val="22"/>
          <w:szCs w:val="22"/>
        </w:rPr>
      </w:pPr>
      <w:r w:rsidRPr="001101A4">
        <w:rPr>
          <w:b/>
          <w:color w:val="1F497D"/>
          <w:sz w:val="22"/>
          <w:szCs w:val="22"/>
        </w:rPr>
        <w:t>Raamatupidamise kande</w:t>
      </w:r>
      <w:r w:rsidR="001101A4" w:rsidRPr="001101A4">
        <w:rPr>
          <w:b/>
          <w:color w:val="1F497D"/>
          <w:sz w:val="22"/>
          <w:szCs w:val="22"/>
        </w:rPr>
        <w:t xml:space="preserve"> import</w:t>
      </w:r>
      <w:r w:rsidR="00591FC6" w:rsidRPr="001101A4">
        <w:rPr>
          <w:b/>
          <w:color w:val="1F497D"/>
          <w:sz w:val="22"/>
          <w:szCs w:val="22"/>
        </w:rPr>
        <w:t xml:space="preserve"> transaktsioon</w:t>
      </w:r>
      <w:r w:rsidR="001101A4">
        <w:rPr>
          <w:b/>
          <w:color w:val="1F497D"/>
          <w:sz w:val="22"/>
          <w:szCs w:val="22"/>
        </w:rPr>
        <w:t xml:space="preserve">iga </w:t>
      </w:r>
      <w:r w:rsidR="00591FC6" w:rsidRPr="001101A4">
        <w:rPr>
          <w:b/>
          <w:color w:val="1F497D"/>
          <w:sz w:val="22"/>
          <w:szCs w:val="22"/>
        </w:rPr>
        <w:t xml:space="preserve"> ZFI_SALDO</w:t>
      </w:r>
    </w:p>
    <w:p w14:paraId="437CB5E0" w14:textId="77777777" w:rsidR="00591FC6" w:rsidRDefault="00591FC6" w:rsidP="001C499F">
      <w:pPr>
        <w:jc w:val="both"/>
      </w:pPr>
    </w:p>
    <w:p w14:paraId="225A3D60" w14:textId="77777777" w:rsidR="009B4D33" w:rsidRDefault="00A440D1" w:rsidP="00A53426">
      <w:pPr>
        <w:jc w:val="both"/>
      </w:pPr>
      <w:r>
        <w:t xml:space="preserve">Transaktsioon ZFI_SALDO abil </w:t>
      </w:r>
      <w:r w:rsidR="00761AA8">
        <w:t xml:space="preserve">on </w:t>
      </w:r>
      <w:r>
        <w:t xml:space="preserve">võimalik importida mahukat pearaamatu kannet, kui see on ettevalmistatud excelis etteantud vormil.  </w:t>
      </w:r>
    </w:p>
    <w:p w14:paraId="7AF15C6B" w14:textId="77777777" w:rsidR="00E468EE" w:rsidRDefault="00E468EE" w:rsidP="00A53426">
      <w:pPr>
        <w:jc w:val="both"/>
        <w:rPr>
          <w:u w:val="single"/>
        </w:rPr>
      </w:pPr>
    </w:p>
    <w:p w14:paraId="18737F31" w14:textId="77777777" w:rsidR="001C499F" w:rsidRDefault="001C499F" w:rsidP="001C499F">
      <w:pPr>
        <w:jc w:val="both"/>
        <w:rPr>
          <w:u w:val="single"/>
        </w:rPr>
      </w:pPr>
      <w:r w:rsidRPr="001C499F">
        <w:rPr>
          <w:u w:val="single"/>
        </w:rPr>
        <w:t>Kande impordiks loodud toimingus täidab sisestaja järgmised väljad:</w:t>
      </w:r>
    </w:p>
    <w:p w14:paraId="21E33A44" w14:textId="77777777" w:rsidR="001C499F" w:rsidRDefault="00363037" w:rsidP="001C499F">
      <w:pPr>
        <w:numPr>
          <w:ilvl w:val="0"/>
          <w:numId w:val="1"/>
        </w:numPr>
        <w:spacing w:before="120"/>
        <w:jc w:val="both"/>
      </w:pPr>
      <w:r>
        <w:t>Organisatsioon</w:t>
      </w:r>
      <w:r w:rsidR="001C499F">
        <w:t xml:space="preserve"> – </w:t>
      </w:r>
      <w:r>
        <w:rPr>
          <w:i/>
          <w:iCs/>
        </w:rPr>
        <w:t>Ettevõte</w:t>
      </w:r>
    </w:p>
    <w:p w14:paraId="253F16C6" w14:textId="77777777" w:rsidR="001C499F" w:rsidRPr="00E468EE" w:rsidRDefault="00363037" w:rsidP="001C499F">
      <w:pPr>
        <w:numPr>
          <w:ilvl w:val="0"/>
          <w:numId w:val="1"/>
        </w:numPr>
        <w:spacing w:before="120"/>
        <w:jc w:val="both"/>
        <w:rPr>
          <w:i/>
        </w:rPr>
      </w:pPr>
      <w:r>
        <w:t>Faili nimi</w:t>
      </w:r>
    </w:p>
    <w:p w14:paraId="00597C21" w14:textId="77777777" w:rsidR="001C499F" w:rsidRDefault="00363037" w:rsidP="001C499F">
      <w:pPr>
        <w:numPr>
          <w:ilvl w:val="0"/>
          <w:numId w:val="1"/>
        </w:numPr>
        <w:spacing w:before="120"/>
        <w:jc w:val="both"/>
      </w:pPr>
      <w:r>
        <w:t xml:space="preserve">Dokumendi kuupäev </w:t>
      </w:r>
    </w:p>
    <w:p w14:paraId="03FBBB6F" w14:textId="77777777" w:rsidR="001C499F" w:rsidRDefault="00363037" w:rsidP="001C499F">
      <w:pPr>
        <w:numPr>
          <w:ilvl w:val="0"/>
          <w:numId w:val="1"/>
        </w:numPr>
        <w:spacing w:before="120"/>
        <w:jc w:val="both"/>
      </w:pPr>
      <w:r>
        <w:t>Kande kuupäev</w:t>
      </w:r>
    </w:p>
    <w:p w14:paraId="6B5242B3" w14:textId="77777777" w:rsidR="00E03662" w:rsidRDefault="00E03662" w:rsidP="001C499F">
      <w:pPr>
        <w:numPr>
          <w:ilvl w:val="0"/>
          <w:numId w:val="1"/>
        </w:numPr>
        <w:spacing w:before="120"/>
        <w:jc w:val="both"/>
      </w:pPr>
      <w:r>
        <w:t>Teisenduskuupäev – võimaldab välisvaluutas kande tegemisel määrata valuuta kursikuupäeva</w:t>
      </w:r>
    </w:p>
    <w:p w14:paraId="4DD5D023" w14:textId="2D4CF809" w:rsidR="001C499F" w:rsidRDefault="00363037" w:rsidP="001C499F">
      <w:pPr>
        <w:numPr>
          <w:ilvl w:val="0"/>
          <w:numId w:val="1"/>
        </w:numPr>
        <w:spacing w:before="120"/>
        <w:jc w:val="both"/>
      </w:pPr>
      <w:r>
        <w:t>Dokumendi tüüp</w:t>
      </w:r>
      <w:r w:rsidR="001C499F">
        <w:t xml:space="preserve"> </w:t>
      </w:r>
      <w:r w:rsidR="0079196B">
        <w:t>– kasutuses tüübid SA või ZL</w:t>
      </w:r>
      <w:r w:rsidR="0014519D">
        <w:t xml:space="preserve"> või SC</w:t>
      </w:r>
      <w:r w:rsidR="00E03662">
        <w:t xml:space="preserve"> või ZT </w:t>
      </w:r>
      <w:r w:rsidR="0079196B">
        <w:t>vastavalt vajadusele</w:t>
      </w:r>
      <w:r w:rsidR="00B86678">
        <w:t>. Kui soovitakse importida hankija või kliendi kande kulu/tuluridu, siis määrata dokumendi tüübiks hankija või kliendi dokumenditüüp, mida kasutaksite siis kui sisestaksite kannet ise käsitsi.</w:t>
      </w:r>
    </w:p>
    <w:p w14:paraId="1E9EB332" w14:textId="77777777" w:rsidR="00E03662" w:rsidRDefault="0079196B" w:rsidP="001C499F">
      <w:pPr>
        <w:numPr>
          <w:ilvl w:val="0"/>
          <w:numId w:val="1"/>
        </w:numPr>
        <w:spacing w:before="120"/>
        <w:jc w:val="both"/>
      </w:pPr>
      <w:r>
        <w:t xml:space="preserve">Vahekonto – </w:t>
      </w:r>
      <w:r w:rsidR="00C63902">
        <w:t>p</w:t>
      </w:r>
      <w:r w:rsidR="00363037">
        <w:t xml:space="preserve">earaamatu konto, </w:t>
      </w:r>
      <w:r w:rsidR="00E03662">
        <w:t>vaikimisi pakutakse kontot 99999998, kuid see on võimalik välja vahetada mõne muu pearaamatu tüüpi konto vastu (näiteks pangavahekontod)</w:t>
      </w:r>
    </w:p>
    <w:p w14:paraId="494D4EE5" w14:textId="77777777" w:rsidR="00363037" w:rsidRDefault="00363037" w:rsidP="001C499F">
      <w:pPr>
        <w:numPr>
          <w:ilvl w:val="0"/>
          <w:numId w:val="1"/>
        </w:numPr>
        <w:spacing w:before="120"/>
        <w:jc w:val="both"/>
      </w:pPr>
      <w:proofErr w:type="spellStart"/>
      <w:r>
        <w:t>Kirjendusp</w:t>
      </w:r>
      <w:r w:rsidR="001C499F">
        <w:t>eriood</w:t>
      </w:r>
      <w:proofErr w:type="spellEnd"/>
      <w:r w:rsidR="001C499F">
        <w:t xml:space="preserve"> </w:t>
      </w:r>
    </w:p>
    <w:p w14:paraId="35D876D7" w14:textId="77777777" w:rsidR="001C499F" w:rsidRDefault="001C499F" w:rsidP="001C499F">
      <w:pPr>
        <w:numPr>
          <w:ilvl w:val="0"/>
          <w:numId w:val="1"/>
        </w:numPr>
        <w:spacing w:before="120"/>
        <w:jc w:val="both"/>
      </w:pPr>
      <w:r>
        <w:t>Valuuta</w:t>
      </w:r>
    </w:p>
    <w:p w14:paraId="4C53F32A" w14:textId="77777777" w:rsidR="001C499F" w:rsidRDefault="001C499F" w:rsidP="001C499F">
      <w:pPr>
        <w:ind w:left="360"/>
        <w:jc w:val="both"/>
      </w:pPr>
    </w:p>
    <w:p w14:paraId="4BA48306" w14:textId="77777777" w:rsidR="001C499F" w:rsidRDefault="001C499F" w:rsidP="001C499F">
      <w:pPr>
        <w:ind w:left="360"/>
        <w:jc w:val="both"/>
      </w:pPr>
      <w:r>
        <w:t>Impordi päis:</w:t>
      </w:r>
    </w:p>
    <w:p w14:paraId="0143652F" w14:textId="77777777" w:rsidR="001C499F" w:rsidRDefault="00E03662" w:rsidP="001C499F">
      <w:pPr>
        <w:ind w:left="360"/>
        <w:jc w:val="both"/>
      </w:pPr>
      <w:r>
        <w:rPr>
          <w:noProof/>
        </w:rPr>
        <w:drawing>
          <wp:inline distT="0" distB="0" distL="0" distR="0" wp14:anchorId="0D07AC56" wp14:editId="7A6B1E7B">
            <wp:extent cx="5593080" cy="3009900"/>
            <wp:effectExtent l="19050" t="0" r="762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D740C" w14:textId="77777777" w:rsidR="001C499F" w:rsidRDefault="001C499F" w:rsidP="001C499F">
      <w:pPr>
        <w:ind w:left="360"/>
        <w:jc w:val="both"/>
      </w:pPr>
    </w:p>
    <w:p w14:paraId="7AA9BE22" w14:textId="77777777" w:rsidR="00E468EE" w:rsidRDefault="00E468EE" w:rsidP="001C499F">
      <w:pPr>
        <w:jc w:val="both"/>
      </w:pPr>
    </w:p>
    <w:p w14:paraId="5CF01885" w14:textId="77777777" w:rsidR="00BC22B4" w:rsidRDefault="00BC22B4" w:rsidP="00BC22B4">
      <w:pPr>
        <w:spacing w:line="276" w:lineRule="auto"/>
        <w:jc w:val="both"/>
      </w:pPr>
      <w:r>
        <w:t xml:space="preserve">Kui andmed on sisestatud vajutada </w:t>
      </w:r>
      <w:r w:rsidR="00E468EE">
        <w:rPr>
          <w:noProof/>
        </w:rPr>
        <w:drawing>
          <wp:inline distT="0" distB="0" distL="0" distR="0" wp14:anchorId="7A7D45B6" wp14:editId="32E84470">
            <wp:extent cx="304800" cy="2190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8EE">
        <w:t xml:space="preserve"> nuppu. </w:t>
      </w:r>
      <w:r>
        <w:t xml:space="preserve"> </w:t>
      </w:r>
      <w:r w:rsidR="001C499F">
        <w:t>Faili sisestamisega tekib kohesel</w:t>
      </w:r>
      <w:r w:rsidR="00E468EE">
        <w:t>t pargitud dokument, kui andmed olid korrektsed. Pargitud dokumendi saab avada samas ekraanis</w:t>
      </w:r>
      <w:r w:rsidR="00CE6239">
        <w:t>, et kontrollida tekkinud kanne</w:t>
      </w:r>
      <w:r w:rsidR="00E468EE">
        <w:t xml:space="preserve">. </w:t>
      </w:r>
      <w:r w:rsidR="006C7F06">
        <w:t>Kande</w:t>
      </w:r>
      <w:r w:rsidR="00E261C0">
        <w:t xml:space="preserve">s peab sellele </w:t>
      </w:r>
      <w:r w:rsidR="006C7F06">
        <w:t xml:space="preserve">kontole, läbi mille toimub import, </w:t>
      </w:r>
      <w:r>
        <w:t>lisama</w:t>
      </w:r>
      <w:r w:rsidR="006C7F06">
        <w:t xml:space="preserve"> </w:t>
      </w:r>
      <w:r w:rsidR="00E261C0">
        <w:lastRenderedPageBreak/>
        <w:t>vajalikud kontolaiendid</w:t>
      </w:r>
      <w:r>
        <w:t>.</w:t>
      </w:r>
      <w:r w:rsidR="00E261C0">
        <w:t xml:space="preserve"> Kui vahekontona kasutati kontot 99999998, siis võib need read kandes kustutada, kuid need ei ole vajalikud.</w:t>
      </w:r>
      <w:r>
        <w:t xml:space="preserve"> Kande pos</w:t>
      </w:r>
      <w:r w:rsidR="00046B35">
        <w:t xml:space="preserve">titamiseks vajutada nuppu </w:t>
      </w:r>
      <w:r w:rsidR="00046B35">
        <w:rPr>
          <w:noProof/>
        </w:rPr>
        <w:drawing>
          <wp:inline distT="0" distB="0" distL="0" distR="0" wp14:anchorId="13965721" wp14:editId="099949AF">
            <wp:extent cx="342900" cy="2667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B35">
        <w:t>.  Kui kannet koheselt ei soovita postitada raamatupidamisse</w:t>
      </w:r>
      <w:r w:rsidR="00CE6239">
        <w:t>,</w:t>
      </w:r>
      <w:r w:rsidR="00046B35">
        <w:t xml:space="preserve"> siis hilisemalt leiab pargitud dokumendi ülesse transaktsiooniga FBV0.</w:t>
      </w:r>
    </w:p>
    <w:p w14:paraId="01E999C9" w14:textId="77777777" w:rsidR="00BC22B4" w:rsidRDefault="00BC22B4" w:rsidP="00BC22B4">
      <w:pPr>
        <w:spacing w:line="276" w:lineRule="auto"/>
        <w:jc w:val="both"/>
      </w:pPr>
    </w:p>
    <w:p w14:paraId="79BD63F8" w14:textId="77777777" w:rsidR="001C499F" w:rsidRDefault="001C499F" w:rsidP="00BC22B4">
      <w:pPr>
        <w:spacing w:line="276" w:lineRule="auto"/>
        <w:jc w:val="both"/>
      </w:pPr>
      <w:r>
        <w:t>Faili importimise eelduseks on see, et kõik failis olevad kontod</w:t>
      </w:r>
      <w:r w:rsidR="00046B35">
        <w:t xml:space="preserve"> ja kontolaiendid</w:t>
      </w:r>
      <w:r>
        <w:t xml:space="preserve"> on SAP-i eelnevalt loodud. </w:t>
      </w:r>
    </w:p>
    <w:p w14:paraId="71B12AE3" w14:textId="77777777" w:rsidR="001C499F" w:rsidRDefault="001C499F" w:rsidP="00BC22B4">
      <w:pPr>
        <w:spacing w:line="276" w:lineRule="auto"/>
        <w:jc w:val="both"/>
      </w:pPr>
    </w:p>
    <w:p w14:paraId="34C738BB" w14:textId="77777777" w:rsidR="005F3BB3" w:rsidRDefault="005F3BB3" w:rsidP="00BC22B4">
      <w:pPr>
        <w:spacing w:line="276" w:lineRule="auto"/>
        <w:jc w:val="both"/>
      </w:pPr>
      <w:r>
        <w:t>Failiga on võimalik importida kannet alljärgnevate kontolaienditega:</w:t>
      </w:r>
    </w:p>
    <w:p w14:paraId="59D837EC" w14:textId="77777777" w:rsidR="005F3BB3" w:rsidRDefault="005F3BB3" w:rsidP="00BC22B4">
      <w:pPr>
        <w:spacing w:line="276" w:lineRule="auto"/>
        <w:jc w:val="both"/>
      </w:pP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600"/>
        <w:gridCol w:w="2109"/>
        <w:gridCol w:w="2693"/>
      </w:tblGrid>
      <w:tr w:rsidR="00BC22B4" w:rsidRPr="005F3BB3" w14:paraId="714C3015" w14:textId="77777777" w:rsidTr="00645BB6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858" w14:textId="77777777" w:rsidR="00BC22B4" w:rsidRPr="00046B35" w:rsidRDefault="00BC22B4" w:rsidP="005F3BB3">
            <w:pPr>
              <w:jc w:val="right"/>
              <w:rPr>
                <w:rFonts w:ascii="Calibri" w:eastAsia="Times New Roman" w:hAnsi="Calibri"/>
                <w:b/>
                <w:lang w:val="en-US" w:eastAsia="en-US"/>
              </w:rPr>
            </w:pPr>
            <w:proofErr w:type="spellStart"/>
            <w:r w:rsidRPr="00046B35">
              <w:rPr>
                <w:rFonts w:ascii="Calibri" w:eastAsia="Times New Roman" w:hAnsi="Calibri"/>
                <w:b/>
                <w:sz w:val="22"/>
                <w:szCs w:val="22"/>
                <w:lang w:val="en-US" w:eastAsia="en-US"/>
              </w:rPr>
              <w:t>Jrk</w:t>
            </w:r>
            <w:proofErr w:type="spellEnd"/>
            <w:r w:rsidRPr="00046B35">
              <w:rPr>
                <w:rFonts w:ascii="Calibri" w:eastAsia="Times New Roman" w:hAnsi="Calibri"/>
                <w:b/>
                <w:sz w:val="22"/>
                <w:szCs w:val="22"/>
                <w:lang w:val="en-US" w:eastAsia="en-US"/>
              </w:rPr>
              <w:t xml:space="preserve"> nr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C591D" w14:textId="77777777" w:rsidR="00BC22B4" w:rsidRPr="00046B35" w:rsidRDefault="00BC22B4" w:rsidP="005F3BB3">
            <w:pPr>
              <w:rPr>
                <w:rFonts w:ascii="Calibri" w:eastAsia="Times New Roman" w:hAnsi="Calibri"/>
                <w:b/>
                <w:lang w:val="en-US" w:eastAsia="en-US"/>
              </w:rPr>
            </w:pPr>
            <w:r w:rsidRPr="00046B35">
              <w:rPr>
                <w:rFonts w:ascii="Calibri" w:eastAsia="Times New Roman" w:hAnsi="Calibri"/>
                <w:b/>
                <w:sz w:val="22"/>
                <w:szCs w:val="22"/>
                <w:lang w:val="en-US" w:eastAsia="en-US"/>
              </w:rPr>
              <w:t xml:space="preserve">SAP </w:t>
            </w:r>
            <w:proofErr w:type="spellStart"/>
            <w:r w:rsidRPr="00046B35">
              <w:rPr>
                <w:rFonts w:ascii="Calibri" w:eastAsia="Times New Roman" w:hAnsi="Calibri"/>
                <w:b/>
                <w:sz w:val="22"/>
                <w:szCs w:val="22"/>
                <w:lang w:val="en-US" w:eastAsia="en-US"/>
              </w:rPr>
              <w:t>väli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3A2DF" w14:textId="77777777" w:rsidR="00BC22B4" w:rsidRPr="00046B35" w:rsidRDefault="00CE6239" w:rsidP="005F3BB3">
            <w:pPr>
              <w:rPr>
                <w:rFonts w:ascii="Calibri" w:eastAsia="Times New Roman" w:hAnsi="Calibri"/>
                <w:b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b/>
                <w:sz w:val="22"/>
                <w:szCs w:val="22"/>
                <w:lang w:val="en-US" w:eastAsia="en-US"/>
              </w:rPr>
              <w:t>Tähendus</w:t>
            </w:r>
            <w:proofErr w:type="spellEnd"/>
          </w:p>
        </w:tc>
      </w:tr>
      <w:tr w:rsidR="005F3BB3" w:rsidRPr="005F3BB3" w14:paraId="6CA4B38A" w14:textId="77777777" w:rsidTr="00645BB6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8520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DAE4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Konto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02347F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Raamatupidamise konto</w:t>
            </w:r>
          </w:p>
        </w:tc>
      </w:tr>
      <w:tr w:rsidR="005F3BB3" w:rsidRPr="005F3BB3" w14:paraId="6C329106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B94F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F0F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Tehingupartner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9C9579A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Tehingupartner</w:t>
            </w:r>
          </w:p>
        </w:tc>
      </w:tr>
      <w:tr w:rsidR="005F3BB3" w:rsidRPr="005F3BB3" w14:paraId="795E4454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8A77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D7A9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Tegevusala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7C65E9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Tegevusala</w:t>
            </w:r>
          </w:p>
        </w:tc>
      </w:tr>
      <w:tr w:rsidR="005F3BB3" w:rsidRPr="005F3BB3" w14:paraId="75C6A131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3C8F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1609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Tegevusvaldkond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A3A2D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Allikas</w:t>
            </w:r>
          </w:p>
        </w:tc>
      </w:tr>
      <w:tr w:rsidR="005F3BB3" w:rsidRPr="005F3BB3" w14:paraId="55266F63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D4A0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F9D5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Tehingu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tüüp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D435F2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Rahavoog</w:t>
            </w:r>
          </w:p>
        </w:tc>
      </w:tr>
      <w:tr w:rsidR="005F3BB3" w:rsidRPr="005F3BB3" w14:paraId="24E2152F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0713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4323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Summa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346A61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Deebet summa</w:t>
            </w:r>
          </w:p>
        </w:tc>
      </w:tr>
      <w:tr w:rsidR="005F3BB3" w:rsidRPr="005F3BB3" w14:paraId="4F13CB33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6EFD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9B40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Summa</w:t>
            </w:r>
            <w:r w:rsidR="005F3BB3"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B1E10E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Kreedit summa</w:t>
            </w:r>
          </w:p>
        </w:tc>
      </w:tr>
      <w:tr w:rsidR="005F3BB3" w:rsidRPr="005F3BB3" w14:paraId="374DD4B4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9C5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1708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Fo</w:t>
            </w:r>
            <w:r w:rsidR="005F3BB3"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2046EC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Eelarve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liik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ja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objekt</w:t>
            </w:r>
            <w:proofErr w:type="spellEnd"/>
          </w:p>
        </w:tc>
      </w:tr>
      <w:tr w:rsidR="005F3BB3" w:rsidRPr="005F3BB3" w14:paraId="1167CBE3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D8BB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4184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Eelarveüksus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B65F04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Eelarveüksus</w:t>
            </w:r>
          </w:p>
        </w:tc>
      </w:tr>
      <w:tr w:rsidR="005F3BB3" w:rsidRPr="005F3BB3" w14:paraId="79906413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761E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2EA6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Kulukeskus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B7504D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Kulu</w:t>
            </w:r>
            <w:r w:rsidR="00BC22B4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üksus</w:t>
            </w:r>
            <w:proofErr w:type="spellEnd"/>
          </w:p>
        </w:tc>
      </w:tr>
      <w:tr w:rsidR="005F3BB3" w:rsidRPr="005F3BB3" w14:paraId="6FEAE02B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1F65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2E25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Tuluüksus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503416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Tuluüksus</w:t>
            </w:r>
            <w:proofErr w:type="spellEnd"/>
          </w:p>
        </w:tc>
      </w:tr>
      <w:tr w:rsidR="005F3BB3" w:rsidRPr="005F3BB3" w14:paraId="24851B37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9F5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8B0E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Maksukood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4963C4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Maksukood</w:t>
            </w:r>
            <w:proofErr w:type="spellEnd"/>
          </w:p>
        </w:tc>
      </w:tr>
      <w:tr w:rsidR="005F3BB3" w:rsidRPr="005F3BB3" w14:paraId="639B1418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CB9F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66E8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Eelarverida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81AB73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Eelarvekonto</w:t>
            </w:r>
            <w:proofErr w:type="spellEnd"/>
          </w:p>
        </w:tc>
      </w:tr>
      <w:tr w:rsidR="005F3BB3" w:rsidRPr="005F3BB3" w14:paraId="5A48B78B" w14:textId="77777777" w:rsidTr="00645BB6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B32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FE62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Tellimus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2ABAB0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Kulukoht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ehk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ressurss</w:t>
            </w:r>
            <w:proofErr w:type="spellEnd"/>
          </w:p>
        </w:tc>
      </w:tr>
      <w:tr w:rsidR="00BC22B4" w:rsidRPr="005F3BB3" w14:paraId="267C9789" w14:textId="77777777" w:rsidTr="00645BB6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5E2" w14:textId="77777777" w:rsidR="00BC22B4" w:rsidRPr="005F3BB3" w:rsidRDefault="00BC22B4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C8A5" w14:textId="77777777" w:rsidR="00BC22B4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Abiraha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517BD" w14:textId="77777777" w:rsidR="00BC22B4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Toetus</w:t>
            </w:r>
            <w:proofErr w:type="spellEnd"/>
          </w:p>
        </w:tc>
      </w:tr>
      <w:tr w:rsidR="00BC22B4" w:rsidRPr="005F3BB3" w14:paraId="60F77729" w14:textId="77777777" w:rsidTr="00645BB6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2F80" w14:textId="77777777" w:rsidR="00BC22B4" w:rsidRPr="005F3BB3" w:rsidRDefault="00BC22B4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F4FA" w14:textId="77777777" w:rsidR="00BC22B4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Projekti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struktuurielement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C2EC7E" w14:textId="77777777" w:rsidR="00BC22B4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Projekt</w:t>
            </w:r>
            <w:proofErr w:type="spellEnd"/>
          </w:p>
        </w:tc>
      </w:tr>
      <w:tr w:rsidR="005F3BB3" w:rsidRPr="005F3BB3" w14:paraId="2DD814A9" w14:textId="77777777" w:rsidTr="00E261C0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47C" w14:textId="77777777" w:rsidR="005F3BB3" w:rsidRPr="005F3BB3" w:rsidRDefault="005F3BB3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</w:t>
            </w:r>
            <w:r w:rsidR="00E261C0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E4CC" w14:textId="77777777" w:rsidR="005F3BB3" w:rsidRPr="005F3BB3" w:rsidRDefault="005F3BB3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 w:rsidRPr="005F3BB3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Te</w:t>
            </w:r>
            <w:r w:rsidR="00BC22B4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kst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25873" w14:textId="77777777" w:rsidR="005F3BB3" w:rsidRPr="005F3BB3" w:rsidRDefault="00BC22B4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Kanderea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tekst</w:t>
            </w:r>
            <w:proofErr w:type="spellEnd"/>
          </w:p>
        </w:tc>
      </w:tr>
      <w:tr w:rsidR="00E261C0" w:rsidRPr="005F3BB3" w14:paraId="404D6394" w14:textId="77777777" w:rsidTr="00E261C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BFD" w14:textId="77777777" w:rsidR="00E261C0" w:rsidRPr="005F3BB3" w:rsidRDefault="00E261C0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A586" w14:textId="77777777" w:rsidR="00E261C0" w:rsidRPr="005F3BB3" w:rsidRDefault="00E261C0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Määrang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CCA3" w14:textId="77777777" w:rsidR="00E261C0" w:rsidRDefault="00E261C0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Lisainfo</w:t>
            </w:r>
            <w:proofErr w:type="spellEnd"/>
          </w:p>
        </w:tc>
      </w:tr>
      <w:tr w:rsidR="00016605" w:rsidRPr="005F3BB3" w14:paraId="2982B2B6" w14:textId="77777777" w:rsidTr="00E261C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00DA" w14:textId="77777777" w:rsidR="00016605" w:rsidRDefault="00016605" w:rsidP="005F3BB3">
            <w:pPr>
              <w:jc w:val="right"/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8E1A" w14:textId="77777777" w:rsidR="00016605" w:rsidRDefault="00016605" w:rsidP="005F3BB3">
            <w:pPr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RHR number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34C4A" w14:textId="77777777" w:rsidR="00016605" w:rsidRDefault="00016605" w:rsidP="005F3BB3">
            <w:pPr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Riigihanke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number</w:t>
            </w:r>
          </w:p>
        </w:tc>
      </w:tr>
      <w:tr w:rsidR="00B86678" w:rsidRPr="005F3BB3" w14:paraId="53251458" w14:textId="77777777" w:rsidTr="00E261C0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C79C" w14:textId="682D8976" w:rsidR="00B86678" w:rsidRDefault="00B86678" w:rsidP="005F3BB3">
            <w:pPr>
              <w:jc w:val="right"/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E7B8B" w14:textId="7505364E" w:rsidR="00B86678" w:rsidRDefault="00B86678" w:rsidP="005F3BB3">
            <w:pP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proofErr w:type="spellStart"/>
            <w:r w:rsidRPr="00B86678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Lep</w:t>
            </w:r>
            <w:proofErr w:type="spellEnd"/>
            <w:r w:rsidRPr="00B86678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6678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viitnr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67577" w14:textId="41E47217" w:rsidR="00B86678" w:rsidRDefault="00B86678" w:rsidP="005F3BB3">
            <w:pP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RHR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lepinguosa</w:t>
            </w:r>
            <w:proofErr w:type="spellEnd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viitenumber</w:t>
            </w:r>
            <w:proofErr w:type="spellEnd"/>
          </w:p>
        </w:tc>
      </w:tr>
    </w:tbl>
    <w:p w14:paraId="160EC577" w14:textId="77777777" w:rsidR="005F3BB3" w:rsidRDefault="005F3BB3" w:rsidP="001C499F">
      <w:pPr>
        <w:jc w:val="both"/>
      </w:pPr>
    </w:p>
    <w:p w14:paraId="4FBA156F" w14:textId="77777777" w:rsidR="001C499F" w:rsidRDefault="00645BB6" w:rsidP="001C499F">
      <w:pPr>
        <w:jc w:val="both"/>
      </w:pPr>
      <w:r>
        <w:t>Faili väärtuste sisestamise tingimused:</w:t>
      </w:r>
    </w:p>
    <w:p w14:paraId="30D52DCC" w14:textId="77777777" w:rsidR="00D801BE" w:rsidRDefault="00D801BE" w:rsidP="001C499F">
      <w:pPr>
        <w:pStyle w:val="ListParagraph"/>
        <w:numPr>
          <w:ilvl w:val="0"/>
          <w:numId w:val="2"/>
        </w:numPr>
        <w:spacing w:before="120"/>
        <w:jc w:val="both"/>
      </w:pPr>
      <w:r>
        <w:t xml:space="preserve">Andmed failis algavad </w:t>
      </w:r>
      <w:r w:rsidR="00CE6239">
        <w:t xml:space="preserve">andmed </w:t>
      </w:r>
      <w:r>
        <w:t>neljandalt realt ja tulpade järjekorda muuta ei tohi.</w:t>
      </w:r>
    </w:p>
    <w:p w14:paraId="7D4AC937" w14:textId="77777777" w:rsidR="001C499F" w:rsidRDefault="001C499F" w:rsidP="001C499F">
      <w:pPr>
        <w:pStyle w:val="ListParagraph"/>
        <w:numPr>
          <w:ilvl w:val="0"/>
          <w:numId w:val="2"/>
        </w:numPr>
        <w:spacing w:before="120"/>
        <w:jc w:val="both"/>
      </w:pPr>
      <w:r>
        <w:t xml:space="preserve">Failis olevad väärtused on suure ja väikese tähetundlikud. Kui SAP’is on kood suure tähega, siis failis peab ka kood suure tähega olema. </w:t>
      </w:r>
    </w:p>
    <w:p w14:paraId="39164894" w14:textId="77777777" w:rsidR="001C499F" w:rsidRDefault="00033000" w:rsidP="001C499F">
      <w:pPr>
        <w:pStyle w:val="ListParagraph"/>
        <w:numPr>
          <w:ilvl w:val="0"/>
          <w:numId w:val="2"/>
        </w:numPr>
        <w:spacing w:before="120"/>
        <w:jc w:val="both"/>
      </w:pPr>
      <w:r>
        <w:t>Kui tehingupartneri</w:t>
      </w:r>
      <w:r w:rsidR="001C499F">
        <w:t xml:space="preserve"> kood algab </w:t>
      </w:r>
      <w:proofErr w:type="spellStart"/>
      <w:r w:rsidR="001C499F">
        <w:t>SAP’is</w:t>
      </w:r>
      <w:proofErr w:type="spellEnd"/>
      <w:r w:rsidR="001C499F">
        <w:t xml:space="preserve"> O tähega, siis vajalik ka failis O tähega mitte number 0. </w:t>
      </w:r>
    </w:p>
    <w:p w14:paraId="26EB2A83" w14:textId="77777777" w:rsidR="001C499F" w:rsidRDefault="001C499F" w:rsidP="001C499F">
      <w:pPr>
        <w:pStyle w:val="ListParagraph"/>
        <w:numPr>
          <w:ilvl w:val="0"/>
          <w:numId w:val="2"/>
        </w:numPr>
        <w:spacing w:before="120"/>
        <w:jc w:val="both"/>
      </w:pPr>
      <w:r>
        <w:t xml:space="preserve">Rahavoo koodid peavad olema esitatud mitte saldoandmiku formaadis vaid </w:t>
      </w:r>
      <w:r w:rsidR="00033000">
        <w:t xml:space="preserve">tehingu tüüpide </w:t>
      </w:r>
      <w:r>
        <w:t xml:space="preserve">koodidena. </w:t>
      </w:r>
    </w:p>
    <w:p w14:paraId="26CAA7C7" w14:textId="77777777" w:rsidR="001C499F" w:rsidRDefault="001C499F" w:rsidP="001C499F">
      <w:pPr>
        <w:pStyle w:val="ListParagraph"/>
        <w:numPr>
          <w:ilvl w:val="0"/>
          <w:numId w:val="2"/>
        </w:numPr>
        <w:spacing w:before="120"/>
        <w:jc w:val="both"/>
      </w:pPr>
      <w:r>
        <w:lastRenderedPageBreak/>
        <w:t xml:space="preserve">Importida saab vaid pearaamatu kontodele. </w:t>
      </w:r>
    </w:p>
    <w:p w14:paraId="47933C02" w14:textId="77777777" w:rsidR="001C499F" w:rsidRDefault="001C499F" w:rsidP="001C499F">
      <w:pPr>
        <w:pStyle w:val="ListParagraph"/>
        <w:numPr>
          <w:ilvl w:val="0"/>
          <w:numId w:val="2"/>
        </w:numPr>
        <w:spacing w:before="120"/>
        <w:jc w:val="both"/>
      </w:pPr>
      <w:r>
        <w:t xml:space="preserve">Summa formaat peab olema Number. Summa ei tohi sisaldada tühikuid, kas või näiliselt (n!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ei sobi).</w:t>
      </w:r>
    </w:p>
    <w:p w14:paraId="7671F3D6" w14:textId="37DB3A20" w:rsidR="00CE6239" w:rsidRDefault="0014519D" w:rsidP="001C499F">
      <w:pPr>
        <w:pStyle w:val="ListParagraph"/>
        <w:numPr>
          <w:ilvl w:val="0"/>
          <w:numId w:val="2"/>
        </w:numPr>
        <w:spacing w:before="120"/>
        <w:jc w:val="both"/>
      </w:pPr>
      <w:r>
        <w:t>Kui toetuse abiraha koodi ei ole (kood 0), siis tuleb tabelisse sisestada väärtus 0</w:t>
      </w:r>
      <w:r w:rsidR="00524971">
        <w:t>0000000000000000000  (20 nulli</w:t>
      </w:r>
      <w:r w:rsidR="00B86678">
        <w:t>)</w:t>
      </w:r>
      <w:r w:rsidR="00524971">
        <w:t>, kui on tegemist sisendkäibemaksu, arvestatud käibemaksu või käibemaksukulu kontodega. Muude kontode puhul</w:t>
      </w:r>
      <w:r w:rsidR="00837CF5">
        <w:t>,</w:t>
      </w:r>
      <w:r w:rsidR="00524971">
        <w:t xml:space="preserve"> kui on vaja kajastada abiraha koodi 0 võib jätta </w:t>
      </w:r>
      <w:r w:rsidR="00B86678">
        <w:t>välja</w:t>
      </w:r>
      <w:r w:rsidR="00524971">
        <w:t xml:space="preserve"> tühjaks.</w:t>
      </w:r>
    </w:p>
    <w:p w14:paraId="0CA45427" w14:textId="77777777" w:rsidR="000B0C99" w:rsidRDefault="00524971" w:rsidP="001C499F">
      <w:pPr>
        <w:pStyle w:val="ListParagraph"/>
        <w:numPr>
          <w:ilvl w:val="0"/>
          <w:numId w:val="2"/>
        </w:numPr>
        <w:spacing w:before="120"/>
        <w:jc w:val="both"/>
      </w:pPr>
      <w:r>
        <w:t>Tekst – soovi korral saab sisesta teksti kandereale. Välja täitmine ei ole kohustuslik.</w:t>
      </w:r>
    </w:p>
    <w:p w14:paraId="173D15F1" w14:textId="77777777" w:rsidR="00524971" w:rsidRDefault="00524971" w:rsidP="001C499F">
      <w:pPr>
        <w:pStyle w:val="ListParagraph"/>
        <w:numPr>
          <w:ilvl w:val="0"/>
          <w:numId w:val="2"/>
        </w:numPr>
        <w:spacing w:before="120"/>
        <w:jc w:val="both"/>
      </w:pPr>
      <w:r>
        <w:t>Määrang – soovi korral saab sisestada infot kanderea määrangu lahtrisse. Välja täitmine ei ole kohustuslik.</w:t>
      </w:r>
    </w:p>
    <w:p w14:paraId="1D7F73C1" w14:textId="7051B211" w:rsidR="00016605" w:rsidRDefault="00016605" w:rsidP="001C499F">
      <w:pPr>
        <w:pStyle w:val="ListParagraph"/>
        <w:numPr>
          <w:ilvl w:val="0"/>
          <w:numId w:val="2"/>
        </w:numPr>
        <w:spacing w:before="120"/>
        <w:jc w:val="both"/>
      </w:pPr>
      <w:r>
        <w:t>Kasutades impordil Riigihanke numbrit peab dokumenditüübiks valima hankija dokumendi (KR, KS, KG). Hankija rida lisatakse eelregistreeritud dokumendis.</w:t>
      </w:r>
    </w:p>
    <w:p w14:paraId="09292B38" w14:textId="77777777" w:rsidR="00B86678" w:rsidRDefault="00B86678" w:rsidP="00B86678">
      <w:pPr>
        <w:pStyle w:val="ListParagraph"/>
        <w:spacing w:before="120"/>
        <w:jc w:val="both"/>
      </w:pPr>
    </w:p>
    <w:p w14:paraId="3D88653E" w14:textId="77777777" w:rsidR="00524971" w:rsidRDefault="00524971" w:rsidP="00524971">
      <w:pPr>
        <w:pStyle w:val="ListParagraph"/>
        <w:spacing w:before="120"/>
        <w:jc w:val="both"/>
      </w:pPr>
    </w:p>
    <w:p w14:paraId="34A0C2DB" w14:textId="77777777" w:rsidR="000B0C99" w:rsidRDefault="000B0C99" w:rsidP="00CE6239">
      <w:pPr>
        <w:pStyle w:val="ListParagraph"/>
        <w:spacing w:before="120"/>
        <w:jc w:val="both"/>
      </w:pPr>
      <w:r>
        <w:t>Import fail:</w:t>
      </w:r>
    </w:p>
    <w:p w14:paraId="16602267" w14:textId="77777777" w:rsidR="000B0C99" w:rsidRDefault="000B0C99" w:rsidP="00CE6239">
      <w:pPr>
        <w:pStyle w:val="ListParagraph"/>
        <w:spacing w:before="120"/>
        <w:jc w:val="both"/>
      </w:pPr>
    </w:p>
    <w:p w14:paraId="011490E7" w14:textId="2C8A9301" w:rsidR="000B0C99" w:rsidRDefault="00B86678" w:rsidP="00C63902">
      <w:pPr>
        <w:pStyle w:val="ListParagraph"/>
        <w:spacing w:before="120"/>
        <w:jc w:val="both"/>
      </w:pPr>
      <w:r>
        <w:object w:dxaOrig="2274" w:dyaOrig="1485" w14:anchorId="5B364E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3.8pt;height:74.2pt" o:ole="">
            <v:imagedata r:id="rId9" o:title=""/>
          </v:shape>
          <o:OLEObject Type="Embed" ProgID="Excel.Sheet.12" ShapeID="_x0000_i1027" DrawAspect="Icon" ObjectID="_1757400474" r:id="rId10"/>
        </w:object>
      </w:r>
    </w:p>
    <w:sectPr w:rsidR="000B0C99" w:rsidSect="00D5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F70D1"/>
    <w:multiLevelType w:val="hybridMultilevel"/>
    <w:tmpl w:val="D40EDE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713FD"/>
    <w:multiLevelType w:val="hybridMultilevel"/>
    <w:tmpl w:val="2CB8DAC2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312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73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F"/>
    <w:rsid w:val="00016605"/>
    <w:rsid w:val="00033000"/>
    <w:rsid w:val="00046B35"/>
    <w:rsid w:val="00096ADF"/>
    <w:rsid w:val="000B0C99"/>
    <w:rsid w:val="001101A4"/>
    <w:rsid w:val="0014519D"/>
    <w:rsid w:val="001C499F"/>
    <w:rsid w:val="002D4794"/>
    <w:rsid w:val="00342843"/>
    <w:rsid w:val="00363037"/>
    <w:rsid w:val="003C64EB"/>
    <w:rsid w:val="0049195B"/>
    <w:rsid w:val="00500690"/>
    <w:rsid w:val="00524971"/>
    <w:rsid w:val="00591FC6"/>
    <w:rsid w:val="005F3BB3"/>
    <w:rsid w:val="00645BB6"/>
    <w:rsid w:val="00682282"/>
    <w:rsid w:val="006B73EA"/>
    <w:rsid w:val="006C7F06"/>
    <w:rsid w:val="00761AA8"/>
    <w:rsid w:val="0079196B"/>
    <w:rsid w:val="007D3D72"/>
    <w:rsid w:val="007E1B2B"/>
    <w:rsid w:val="00837CF5"/>
    <w:rsid w:val="00856C05"/>
    <w:rsid w:val="00870C41"/>
    <w:rsid w:val="009B4D33"/>
    <w:rsid w:val="00A440D1"/>
    <w:rsid w:val="00A53426"/>
    <w:rsid w:val="00AE495F"/>
    <w:rsid w:val="00B86678"/>
    <w:rsid w:val="00BC22B4"/>
    <w:rsid w:val="00C63902"/>
    <w:rsid w:val="00CE6239"/>
    <w:rsid w:val="00D2063D"/>
    <w:rsid w:val="00D4024E"/>
    <w:rsid w:val="00D5311D"/>
    <w:rsid w:val="00D801BE"/>
    <w:rsid w:val="00D91A4B"/>
    <w:rsid w:val="00E03662"/>
    <w:rsid w:val="00E261C0"/>
    <w:rsid w:val="00E43FF1"/>
    <w:rsid w:val="00E468EE"/>
    <w:rsid w:val="00F52071"/>
    <w:rsid w:val="00F921F9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47FEDE"/>
  <w15:docId w15:val="{50E70303-0946-4B29-BA7E-4F455B08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99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9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9F"/>
    <w:rPr>
      <w:rFonts w:ascii="Tahoma" w:hAnsi="Tahoma" w:cs="Tahoma"/>
      <w:color w:val="000000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3A8F-3094-4764-9415-5F60026E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enee</dc:creator>
  <cp:lastModifiedBy>Ene Ehtmaa</cp:lastModifiedBy>
  <cp:revision>2</cp:revision>
  <dcterms:created xsi:type="dcterms:W3CDTF">2023-09-28T07:00:00Z</dcterms:created>
  <dcterms:modified xsi:type="dcterms:W3CDTF">2023-09-28T07:00:00Z</dcterms:modified>
</cp:coreProperties>
</file>